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938B1">
      <w:pPr>
        <w:wordWrap w:val="0"/>
        <w:jc w:val="righ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合同编号：xxxxxxxxx</w:t>
      </w:r>
    </w:p>
    <w:p w14:paraId="623BD388">
      <w:pPr>
        <w:wordWrap w:val="0"/>
        <w:jc w:val="righ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铺位号：xxxxxxxxx</w:t>
      </w:r>
    </w:p>
    <w:p w14:paraId="21961AF5">
      <w:pPr>
        <w:spacing w:line="360" w:lineRule="auto"/>
        <w:jc w:val="center"/>
        <w:rPr>
          <w:rFonts w:ascii="仿宋_GB2312" w:hAnsi="仿宋_GB2312" w:eastAsia="仿宋_GB2312" w:cs="仿宋_GB2312"/>
          <w:color w:val="000000" w:themeColor="text1"/>
          <w:sz w:val="52"/>
          <w:szCs w:val="52"/>
          <w14:textFill>
            <w14:solidFill>
              <w14:schemeClr w14:val="tx1"/>
            </w14:solidFill>
          </w14:textFill>
        </w:rPr>
      </w:pPr>
      <w:r>
        <w:rPr>
          <w:rFonts w:hint="eastAsia" w:ascii="仿宋_GB2312" w:hAnsi="仿宋_GB2312" w:eastAsia="仿宋_GB2312" w:cs="仿宋_GB2312"/>
          <w:color w:val="000000" w:themeColor="text1"/>
          <w:sz w:val="52"/>
          <w:szCs w:val="52"/>
          <w14:textFill>
            <w14:solidFill>
              <w14:schemeClr w14:val="tx1"/>
            </w14:solidFill>
          </w14:textFill>
        </w:rPr>
        <w:t>金华多湖里资产经营有限公司</w:t>
      </w:r>
    </w:p>
    <w:p w14:paraId="6E782D64">
      <w:pPr>
        <w:spacing w:line="360" w:lineRule="auto"/>
        <w:jc w:val="cente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与</w:t>
      </w:r>
    </w:p>
    <w:p w14:paraId="67F84F06">
      <w:pPr>
        <w:spacing w:line="360" w:lineRule="auto"/>
        <w:jc w:val="center"/>
        <w:rPr>
          <w:rFonts w:ascii="仿宋_GB2312" w:hAnsi="仿宋_GB2312" w:eastAsia="仿宋_GB2312" w:cs="仿宋_GB2312"/>
          <w:color w:val="000000" w:themeColor="text1"/>
          <w:sz w:val="52"/>
          <w:szCs w:val="52"/>
          <w14:textFill>
            <w14:solidFill>
              <w14:schemeClr w14:val="tx1"/>
            </w14:solidFill>
          </w14:textFill>
        </w:rPr>
      </w:pPr>
      <w:r>
        <w:rPr>
          <w:rFonts w:hint="eastAsia" w:ascii="仿宋_GB2312" w:hAnsi="仿宋_GB2312" w:eastAsia="仿宋_GB2312" w:cs="仿宋_GB2312"/>
          <w:color w:val="000000" w:themeColor="text1"/>
          <w:sz w:val="52"/>
          <w:szCs w:val="52"/>
          <w14:textFill>
            <w14:solidFill>
              <w14:schemeClr w14:val="tx1"/>
            </w14:solidFill>
          </w14:textFill>
        </w:rPr>
        <w:t>XX</w:t>
      </w:r>
    </w:p>
    <w:p w14:paraId="2CC54AAE">
      <w:pPr>
        <w:spacing w:line="360" w:lineRule="auto"/>
        <w:jc w:val="cente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关于</w:t>
      </w:r>
    </w:p>
    <w:p w14:paraId="4A44FCF2">
      <w:pPr>
        <w:spacing w:line="360" w:lineRule="auto"/>
        <w:jc w:val="center"/>
        <w:rPr>
          <w:rFonts w:ascii="仿宋_GB2312" w:hAnsi="仿宋_GB2312" w:eastAsia="仿宋_GB2312" w:cs="仿宋_GB2312"/>
          <w:color w:val="000000" w:themeColor="text1"/>
          <w:sz w:val="52"/>
          <w:szCs w:val="52"/>
          <w14:textFill>
            <w14:solidFill>
              <w14:schemeClr w14:val="tx1"/>
            </w14:solidFill>
          </w14:textFill>
        </w:rPr>
      </w:pPr>
      <w:r>
        <w:rPr>
          <w:rFonts w:hint="eastAsia" w:ascii="仿宋_GB2312" w:hAnsi="仿宋_GB2312" w:eastAsia="仿宋_GB2312" w:cs="仿宋_GB2312"/>
          <w:color w:val="000000" w:themeColor="text1"/>
          <w:sz w:val="52"/>
          <w:szCs w:val="52"/>
          <w14:textFill>
            <w14:solidFill>
              <w14:schemeClr w14:val="tx1"/>
            </w14:solidFill>
          </w14:textFill>
        </w:rPr>
        <w:t>Xx品牌</w:t>
      </w:r>
    </w:p>
    <w:p w14:paraId="67072C1D">
      <w:pPr>
        <w:spacing w:line="360" w:lineRule="auto"/>
        <w:jc w:val="center"/>
        <w:rPr>
          <w:rFonts w:ascii="仿宋_GB2312" w:hAnsi="仿宋_GB2312" w:eastAsia="仿宋_GB2312" w:cs="仿宋_GB2312"/>
          <w:color w:val="000000" w:themeColor="text1"/>
          <w:sz w:val="84"/>
          <w:szCs w:val="84"/>
          <w14:textFill>
            <w14:solidFill>
              <w14:schemeClr w14:val="tx1"/>
            </w14:solidFill>
          </w14:textFill>
        </w:rPr>
      </w:pPr>
      <w:r>
        <w:rPr>
          <w:rFonts w:hint="eastAsia" w:ascii="仿宋_GB2312" w:hAnsi="仿宋_GB2312" w:eastAsia="仿宋_GB2312" w:cs="仿宋_GB2312"/>
          <w:color w:val="000000" w:themeColor="text1"/>
          <w:sz w:val="84"/>
          <w:szCs w:val="84"/>
          <w14:textFill>
            <w14:solidFill>
              <w14:schemeClr w14:val="tx1"/>
            </w14:solidFill>
          </w14:textFill>
        </w:rPr>
        <w:t>租</w:t>
      </w:r>
    </w:p>
    <w:p w14:paraId="39AF1E1A">
      <w:pPr>
        <w:spacing w:line="360" w:lineRule="auto"/>
        <w:jc w:val="center"/>
        <w:rPr>
          <w:rFonts w:ascii="仿宋_GB2312" w:hAnsi="仿宋_GB2312" w:eastAsia="仿宋_GB2312" w:cs="仿宋_GB2312"/>
          <w:color w:val="000000" w:themeColor="text1"/>
          <w:sz w:val="84"/>
          <w:szCs w:val="84"/>
          <w14:textFill>
            <w14:solidFill>
              <w14:schemeClr w14:val="tx1"/>
            </w14:solidFill>
          </w14:textFill>
        </w:rPr>
      </w:pPr>
      <w:r>
        <w:rPr>
          <w:rFonts w:hint="eastAsia" w:ascii="仿宋_GB2312" w:hAnsi="仿宋_GB2312" w:eastAsia="仿宋_GB2312" w:cs="仿宋_GB2312"/>
          <w:color w:val="000000" w:themeColor="text1"/>
          <w:sz w:val="84"/>
          <w:szCs w:val="84"/>
          <w14:textFill>
            <w14:solidFill>
              <w14:schemeClr w14:val="tx1"/>
            </w14:solidFill>
          </w14:textFill>
        </w:rPr>
        <w:t>赁</w:t>
      </w:r>
    </w:p>
    <w:p w14:paraId="561C70E3">
      <w:pPr>
        <w:spacing w:line="360" w:lineRule="auto"/>
        <w:jc w:val="center"/>
        <w:rPr>
          <w:rFonts w:ascii="仿宋_GB2312" w:hAnsi="仿宋_GB2312" w:eastAsia="仿宋_GB2312" w:cs="仿宋_GB2312"/>
          <w:color w:val="000000" w:themeColor="text1"/>
          <w:sz w:val="84"/>
          <w:szCs w:val="84"/>
          <w14:textFill>
            <w14:solidFill>
              <w14:schemeClr w14:val="tx1"/>
            </w14:solidFill>
          </w14:textFill>
        </w:rPr>
      </w:pPr>
      <w:r>
        <w:rPr>
          <w:rFonts w:hint="eastAsia" w:ascii="仿宋_GB2312" w:hAnsi="仿宋_GB2312" w:eastAsia="仿宋_GB2312" w:cs="仿宋_GB2312"/>
          <w:color w:val="000000" w:themeColor="text1"/>
          <w:sz w:val="84"/>
          <w:szCs w:val="84"/>
          <w14:textFill>
            <w14:solidFill>
              <w14:schemeClr w14:val="tx1"/>
            </w14:solidFill>
          </w14:textFill>
        </w:rPr>
        <w:t>合</w:t>
      </w:r>
    </w:p>
    <w:p w14:paraId="11B1DB92">
      <w:pPr>
        <w:spacing w:line="360" w:lineRule="auto"/>
        <w:jc w:val="cente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84"/>
          <w:szCs w:val="84"/>
          <w14:textFill>
            <w14:solidFill>
              <w14:schemeClr w14:val="tx1"/>
            </w14:solidFill>
          </w14:textFill>
        </w:rPr>
        <w:t>同</w:t>
      </w:r>
    </w:p>
    <w:p w14:paraId="026B9A5A">
      <w:pPr>
        <w:spacing w:line="360" w:lineRule="auto"/>
        <w:jc w:val="cente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签订日期：xx年xx月xx日</w:t>
      </w:r>
    </w:p>
    <w:p w14:paraId="1FBD22F5">
      <w:pPr>
        <w:rPr>
          <w:rFonts w:ascii="仿宋_GB2312" w:hAnsi="仿宋_GB2312" w:eastAsia="仿宋_GB2312" w:cs="仿宋_GB2312"/>
          <w:color w:val="000000" w:themeColor="text1"/>
          <w:sz w:val="32"/>
          <w:szCs w:val="32"/>
          <w14:textFill>
            <w14:solidFill>
              <w14:schemeClr w14:val="tx1"/>
            </w14:solidFill>
          </w14:textFill>
        </w:rPr>
        <w:sectPr>
          <w:headerReference r:id="rId3" w:type="default"/>
          <w:footerReference r:id="rId5" w:type="default"/>
          <w:headerReference r:id="rId4" w:type="even"/>
          <w:footerReference r:id="rId6" w:type="even"/>
          <w:pgSz w:w="11910" w:h="16840"/>
          <w:pgMar w:top="2098" w:right="1587" w:bottom="2098" w:left="1587" w:header="720" w:footer="720" w:gutter="0"/>
          <w:cols w:space="0" w:num="1"/>
          <w:docGrid w:linePitch="299" w:charSpace="0"/>
        </w:sectPr>
      </w:pPr>
    </w:p>
    <w:p w14:paraId="79E70D66">
      <w:pPr>
        <w:rPr>
          <w:rFonts w:ascii="仿宋_GB2312" w:hAnsi="仿宋_GB2312" w:eastAsia="仿宋_GB2312" w:cs="仿宋_GB2312"/>
          <w:color w:val="000000" w:themeColor="text1"/>
          <w:sz w:val="32"/>
          <w:szCs w:val="32"/>
          <w14:textFill>
            <w14:solidFill>
              <w14:schemeClr w14:val="tx1"/>
            </w14:solidFill>
          </w14:textFill>
        </w:rPr>
      </w:pPr>
    </w:p>
    <w:p w14:paraId="32FA2270">
      <w:pPr>
        <w:pStyle w:val="11"/>
        <w:spacing w:line="400" w:lineRule="exact"/>
        <w:ind w:firstLine="608" w:firstLineChars="200"/>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pacing w:val="-8"/>
          <w:sz w:val="32"/>
          <w:szCs w:val="32"/>
          <w14:textFill>
            <w14:solidFill>
              <w14:schemeClr w14:val="tx1"/>
            </w14:solidFill>
          </w14:textFill>
        </w:rPr>
        <w:t>甲方（出租方）：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金华市多湖里资产经营有限公司 </w:t>
      </w:r>
    </w:p>
    <w:p w14:paraId="60E00C17">
      <w:pPr>
        <w:pStyle w:val="11"/>
        <w:spacing w:line="40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统一社会信用代码为：91330703MA2HQYCX79</w:t>
      </w:r>
    </w:p>
    <w:p w14:paraId="7E5B2548">
      <w:pPr>
        <w:pStyle w:val="11"/>
        <w:spacing w:line="400" w:lineRule="exact"/>
        <w:ind w:firstLine="628"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3"/>
          <w:sz w:val="32"/>
          <w:szCs w:val="32"/>
          <w14:textFill>
            <w14:solidFill>
              <w14:schemeClr w14:val="tx1"/>
            </w14:solidFill>
          </w14:textFill>
        </w:rPr>
        <w:t>注</w:t>
      </w:r>
      <w:r>
        <w:rPr>
          <w:rFonts w:hint="eastAsia" w:ascii="仿宋_GB2312" w:hAnsi="仿宋_GB2312" w:eastAsia="仿宋_GB2312" w:cs="仿宋_GB2312"/>
          <w:color w:val="000000" w:themeColor="text1"/>
          <w:sz w:val="32"/>
          <w:szCs w:val="32"/>
          <w14:textFill>
            <w14:solidFill>
              <w14:schemeClr w14:val="tx1"/>
            </w14:solidFill>
          </w14:textFill>
        </w:rPr>
        <w:t>册</w:t>
      </w:r>
      <w:r>
        <w:rPr>
          <w:rFonts w:hint="eastAsia" w:ascii="仿宋_GB2312" w:hAnsi="仿宋_GB2312" w:eastAsia="仿宋_GB2312" w:cs="仿宋_GB2312"/>
          <w:color w:val="000000" w:themeColor="text1"/>
          <w:spacing w:val="-3"/>
          <w:sz w:val="32"/>
          <w:szCs w:val="32"/>
          <w14:textFill>
            <w14:solidFill>
              <w14:schemeClr w14:val="tx1"/>
            </w14:solidFill>
          </w14:textFill>
        </w:rPr>
        <w:t>地</w:t>
      </w:r>
      <w:r>
        <w:rPr>
          <w:rFonts w:hint="eastAsia" w:ascii="仿宋_GB2312" w:hAnsi="仿宋_GB2312" w:eastAsia="仿宋_GB2312" w:cs="仿宋_GB2312"/>
          <w:color w:val="000000" w:themeColor="text1"/>
          <w:sz w:val="32"/>
          <w:szCs w:val="32"/>
          <w14:textFill>
            <w14:solidFill>
              <w14:schemeClr w14:val="tx1"/>
            </w14:solidFill>
          </w14:textFill>
        </w:rPr>
        <w:t>址</w:t>
      </w:r>
      <w:r>
        <w:rPr>
          <w:rFonts w:hint="eastAsia" w:ascii="仿宋_GB2312" w:hAnsi="仿宋_GB2312" w:eastAsia="仿宋_GB2312" w:cs="仿宋_GB2312"/>
          <w:color w:val="000000" w:themeColor="text1"/>
          <w:spacing w:val="-3"/>
          <w:sz w:val="32"/>
          <w:szCs w:val="32"/>
          <w14:textFill>
            <w14:solidFill>
              <w14:schemeClr w14:val="tx1"/>
            </w14:solidFill>
          </w14:textFill>
        </w:rPr>
        <w:t>为：浙江省金华市金东区多湖街道</w:t>
      </w:r>
      <w:r>
        <w:rPr>
          <w:rFonts w:hint="eastAsia" w:ascii="仿宋_GB2312" w:hAnsi="仿宋_GB2312" w:eastAsia="仿宋_GB2312" w:cs="仿宋_GB2312"/>
          <w:color w:val="000000" w:themeColor="text1"/>
          <w:spacing w:val="-3"/>
          <w:sz w:val="32"/>
          <w:szCs w:val="32"/>
          <w:lang w:eastAsia="zh-CN"/>
          <w14:textFill>
            <w14:solidFill>
              <w14:schemeClr w14:val="tx1"/>
            </w14:solidFill>
          </w14:textFill>
        </w:rPr>
        <w:t>栖凤街</w:t>
      </w:r>
      <w:r>
        <w:rPr>
          <w:rFonts w:hint="eastAsia" w:ascii="仿宋_GB2312" w:hAnsi="仿宋_GB2312" w:eastAsia="仿宋_GB2312" w:cs="仿宋_GB2312"/>
          <w:color w:val="000000" w:themeColor="text1"/>
          <w:spacing w:val="-3"/>
          <w:sz w:val="32"/>
          <w:szCs w:val="32"/>
          <w:lang w:val="en-US" w:eastAsia="zh-CN"/>
          <w14:textFill>
            <w14:solidFill>
              <w14:schemeClr w14:val="tx1"/>
            </w14:solidFill>
          </w14:textFill>
        </w:rPr>
        <w:t>1198</w:t>
      </w:r>
      <w:r>
        <w:rPr>
          <w:rFonts w:hint="eastAsia" w:ascii="仿宋_GB2312" w:hAnsi="仿宋_GB2312" w:eastAsia="仿宋_GB2312" w:cs="仿宋_GB2312"/>
          <w:color w:val="000000" w:themeColor="text1"/>
          <w:spacing w:val="-3"/>
          <w:sz w:val="32"/>
          <w:szCs w:val="32"/>
          <w14:textFill>
            <w14:solidFill>
              <w14:schemeClr w14:val="tx1"/>
            </w14:solidFill>
          </w14:textFill>
        </w:rPr>
        <w:t>号</w:t>
      </w:r>
      <w:r>
        <w:rPr>
          <w:rFonts w:hint="eastAsia" w:ascii="仿宋_GB2312" w:hAnsi="仿宋_GB2312" w:eastAsia="仿宋_GB2312" w:cs="仿宋_GB2312"/>
          <w:color w:val="000000" w:themeColor="text1"/>
          <w:sz w:val="32"/>
          <w:szCs w:val="32"/>
          <w14:textFill>
            <w14:solidFill>
              <w14:schemeClr w14:val="tx1"/>
            </w14:solidFill>
          </w14:textFill>
        </w:rPr>
        <w:t>。</w:t>
      </w:r>
    </w:p>
    <w:p w14:paraId="6DEF03CA">
      <w:pPr>
        <w:pStyle w:val="12"/>
        <w:tabs>
          <w:tab w:val="left" w:pos="2026"/>
          <w:tab w:val="left" w:pos="2027"/>
        </w:tabs>
        <w:spacing w:before="0" w:line="400" w:lineRule="exact"/>
        <w:ind w:left="0" w:firstLine="608" w:firstLineChars="200"/>
        <w:rPr>
          <w:rFonts w:ascii="仿宋_GB2312" w:hAnsi="仿宋_GB2312" w:eastAsia="仿宋_GB2312" w:cs="仿宋_GB2312"/>
          <w:color w:val="000000" w:themeColor="text1"/>
          <w:spacing w:val="-8"/>
          <w:sz w:val="32"/>
          <w:szCs w:val="32"/>
          <w14:textFill>
            <w14:solidFill>
              <w14:schemeClr w14:val="tx1"/>
            </w14:solidFill>
          </w14:textFill>
        </w:rPr>
      </w:pPr>
    </w:p>
    <w:p w14:paraId="1D0E1409">
      <w:pPr>
        <w:pStyle w:val="12"/>
        <w:tabs>
          <w:tab w:val="left" w:pos="2026"/>
          <w:tab w:val="left" w:pos="2027"/>
        </w:tabs>
        <w:spacing w:before="0" w:line="400" w:lineRule="exact"/>
        <w:ind w:left="0" w:firstLine="608" w:firstLineChars="200"/>
        <w:rPr>
          <w:rFonts w:ascii="仿宋_GB2312" w:hAnsi="仿宋_GB2312" w:eastAsia="仿宋_GB2312" w:cs="仿宋_GB2312"/>
          <w:color w:val="000000" w:themeColor="text1"/>
          <w:spacing w:val="-8"/>
          <w:sz w:val="32"/>
          <w:szCs w:val="32"/>
          <w14:textFill>
            <w14:solidFill>
              <w14:schemeClr w14:val="tx1"/>
            </w14:solidFill>
          </w14:textFill>
        </w:rPr>
      </w:pPr>
    </w:p>
    <w:p w14:paraId="125AEF1D">
      <w:pPr>
        <w:pStyle w:val="12"/>
        <w:tabs>
          <w:tab w:val="left" w:pos="2026"/>
          <w:tab w:val="left" w:pos="2027"/>
        </w:tabs>
        <w:spacing w:before="0" w:line="400" w:lineRule="exact"/>
        <w:ind w:left="0" w:firstLine="608" w:firstLineChars="200"/>
        <w:rPr>
          <w:rFonts w:ascii="仿宋_GB2312" w:hAnsi="仿宋_GB2312" w:eastAsia="仿宋_GB2312" w:cs="仿宋_GB2312"/>
          <w:color w:val="000000" w:themeColor="text1"/>
          <w:spacing w:val="-8"/>
          <w:sz w:val="32"/>
          <w:szCs w:val="32"/>
          <w:u w:val="single"/>
          <w14:textFill>
            <w14:solidFill>
              <w14:schemeClr w14:val="tx1"/>
            </w14:solidFill>
          </w14:textFill>
        </w:rPr>
      </w:pPr>
      <w:r>
        <w:rPr>
          <w:rFonts w:hint="eastAsia" w:ascii="仿宋_GB2312" w:hAnsi="仿宋_GB2312" w:eastAsia="仿宋_GB2312" w:cs="仿宋_GB2312"/>
          <w:color w:val="000000" w:themeColor="text1"/>
          <w:spacing w:val="-8"/>
          <w:sz w:val="32"/>
          <w:szCs w:val="32"/>
          <w14:textFill>
            <w14:solidFill>
              <w14:schemeClr w14:val="tx1"/>
            </w14:solidFill>
          </w14:textFill>
        </w:rPr>
        <w:t>乙方（承租方）：</w:t>
      </w:r>
      <w:r>
        <w:rPr>
          <w:rFonts w:hint="eastAsia" w:ascii="仿宋_GB2312" w:hAnsi="仿宋_GB2312" w:eastAsia="仿宋_GB2312" w:cs="仿宋_GB2312"/>
          <w:color w:val="000000" w:themeColor="text1"/>
          <w:spacing w:val="-8"/>
          <w:sz w:val="32"/>
          <w:szCs w:val="32"/>
          <w:u w:val="single"/>
          <w14:textFill>
            <w14:solidFill>
              <w14:schemeClr w14:val="tx1"/>
            </w14:solidFill>
          </w14:textFill>
        </w:rPr>
        <w:t xml:space="preserve">                                 </w:t>
      </w:r>
    </w:p>
    <w:p w14:paraId="3297CC0C">
      <w:pPr>
        <w:pStyle w:val="12"/>
        <w:tabs>
          <w:tab w:val="left" w:pos="2026"/>
          <w:tab w:val="left" w:pos="2027"/>
        </w:tabs>
        <w:spacing w:before="0" w:line="400" w:lineRule="exact"/>
        <w:ind w:left="0"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统</w:t>
      </w:r>
      <w:r>
        <w:rPr>
          <w:rFonts w:hint="eastAsia" w:ascii="仿宋_GB2312" w:hAnsi="仿宋_GB2312" w:eastAsia="仿宋_GB2312" w:cs="仿宋_GB2312"/>
          <w:color w:val="000000" w:themeColor="text1"/>
          <w:spacing w:val="-3"/>
          <w:sz w:val="32"/>
          <w:szCs w:val="32"/>
          <w14:textFill>
            <w14:solidFill>
              <w14:schemeClr w14:val="tx1"/>
            </w14:solidFill>
          </w14:textFill>
        </w:rPr>
        <w:t>一</w:t>
      </w:r>
      <w:r>
        <w:rPr>
          <w:rFonts w:hint="eastAsia" w:ascii="仿宋_GB2312" w:hAnsi="仿宋_GB2312" w:eastAsia="仿宋_GB2312" w:cs="仿宋_GB2312"/>
          <w:color w:val="000000" w:themeColor="text1"/>
          <w:sz w:val="32"/>
          <w:szCs w:val="32"/>
          <w14:textFill>
            <w14:solidFill>
              <w14:schemeClr w14:val="tx1"/>
            </w14:solidFill>
          </w14:textFill>
        </w:rPr>
        <w:t>社</w:t>
      </w:r>
      <w:r>
        <w:rPr>
          <w:rFonts w:hint="eastAsia" w:ascii="仿宋_GB2312" w:hAnsi="仿宋_GB2312" w:eastAsia="仿宋_GB2312" w:cs="仿宋_GB2312"/>
          <w:color w:val="000000" w:themeColor="text1"/>
          <w:spacing w:val="-3"/>
          <w:sz w:val="32"/>
          <w:szCs w:val="32"/>
          <w14:textFill>
            <w14:solidFill>
              <w14:schemeClr w14:val="tx1"/>
            </w14:solidFill>
          </w14:textFill>
        </w:rPr>
        <w:t>会信</w:t>
      </w:r>
      <w:r>
        <w:rPr>
          <w:rFonts w:hint="eastAsia" w:ascii="仿宋_GB2312" w:hAnsi="仿宋_GB2312" w:eastAsia="仿宋_GB2312" w:cs="仿宋_GB2312"/>
          <w:color w:val="000000" w:themeColor="text1"/>
          <w:sz w:val="32"/>
          <w:szCs w:val="32"/>
          <w14:textFill>
            <w14:solidFill>
              <w14:schemeClr w14:val="tx1"/>
            </w14:solidFill>
          </w14:textFill>
        </w:rPr>
        <w:t>用代码</w:t>
      </w:r>
      <w:r>
        <w:rPr>
          <w:rFonts w:hint="eastAsia" w:ascii="仿宋_GB2312" w:hAnsi="仿宋_GB2312" w:eastAsia="仿宋_GB2312" w:cs="仿宋_GB2312"/>
          <w:color w:val="000000" w:themeColor="text1"/>
          <w:spacing w:val="-4"/>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身</w:t>
      </w:r>
      <w:r>
        <w:rPr>
          <w:rFonts w:hint="eastAsia" w:ascii="仿宋_GB2312" w:hAnsi="仿宋_GB2312" w:eastAsia="仿宋_GB2312" w:cs="仿宋_GB2312"/>
          <w:color w:val="000000" w:themeColor="text1"/>
          <w:spacing w:val="-3"/>
          <w:sz w:val="32"/>
          <w:szCs w:val="32"/>
          <w14:textFill>
            <w14:solidFill>
              <w14:schemeClr w14:val="tx1"/>
            </w14:solidFill>
          </w14:textFill>
        </w:rPr>
        <w:t>份</w:t>
      </w:r>
      <w:r>
        <w:rPr>
          <w:rFonts w:hint="eastAsia" w:ascii="仿宋_GB2312" w:hAnsi="仿宋_GB2312" w:eastAsia="仿宋_GB2312" w:cs="仿宋_GB2312"/>
          <w:color w:val="000000" w:themeColor="text1"/>
          <w:sz w:val="32"/>
          <w:szCs w:val="32"/>
          <w14:textFill>
            <w14:solidFill>
              <w14:schemeClr w14:val="tx1"/>
            </w14:solidFill>
          </w14:textFill>
        </w:rPr>
        <w:t>证为：</w:t>
      </w:r>
    </w:p>
    <w:p w14:paraId="443B034D">
      <w:pPr>
        <w:pStyle w:val="12"/>
        <w:tabs>
          <w:tab w:val="left" w:pos="2026"/>
          <w:tab w:val="left" w:pos="2027"/>
        </w:tabs>
        <w:spacing w:before="0" w:line="400" w:lineRule="exact"/>
        <w:ind w:left="0"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注</w:t>
      </w:r>
      <w:r>
        <w:rPr>
          <w:rFonts w:hint="eastAsia" w:ascii="仿宋_GB2312" w:hAnsi="仿宋_GB2312" w:eastAsia="仿宋_GB2312" w:cs="仿宋_GB2312"/>
          <w:color w:val="000000" w:themeColor="text1"/>
          <w:spacing w:val="-3"/>
          <w:sz w:val="32"/>
          <w:szCs w:val="32"/>
          <w14:textFill>
            <w14:solidFill>
              <w14:schemeClr w14:val="tx1"/>
            </w14:solidFill>
          </w14:textFill>
        </w:rPr>
        <w:t>册</w:t>
      </w:r>
      <w:r>
        <w:rPr>
          <w:rFonts w:hint="eastAsia" w:ascii="仿宋_GB2312" w:hAnsi="仿宋_GB2312" w:eastAsia="仿宋_GB2312" w:cs="仿宋_GB2312"/>
          <w:color w:val="000000" w:themeColor="text1"/>
          <w:sz w:val="32"/>
          <w:szCs w:val="32"/>
          <w14:textFill>
            <w14:solidFill>
              <w14:schemeClr w14:val="tx1"/>
            </w14:solidFill>
          </w14:textFill>
        </w:rPr>
        <w:t>地址</w:t>
      </w:r>
      <w:r>
        <w:rPr>
          <w:rFonts w:hint="eastAsia" w:ascii="仿宋_GB2312" w:hAnsi="仿宋_GB2312" w:eastAsia="仿宋_GB2312" w:cs="仿宋_GB2312"/>
          <w:color w:val="000000" w:themeColor="text1"/>
          <w:spacing w:val="-4"/>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身</w:t>
      </w:r>
      <w:r>
        <w:rPr>
          <w:rFonts w:hint="eastAsia" w:ascii="仿宋_GB2312" w:hAnsi="仿宋_GB2312" w:eastAsia="仿宋_GB2312" w:cs="仿宋_GB2312"/>
          <w:color w:val="000000" w:themeColor="text1"/>
          <w:spacing w:val="-3"/>
          <w:sz w:val="32"/>
          <w:szCs w:val="32"/>
          <w14:textFill>
            <w14:solidFill>
              <w14:schemeClr w14:val="tx1"/>
            </w14:solidFill>
          </w14:textFill>
        </w:rPr>
        <w:t>份</w:t>
      </w:r>
      <w:r>
        <w:rPr>
          <w:rFonts w:hint="eastAsia" w:ascii="仿宋_GB2312" w:hAnsi="仿宋_GB2312" w:eastAsia="仿宋_GB2312" w:cs="仿宋_GB2312"/>
          <w:color w:val="000000" w:themeColor="text1"/>
          <w:sz w:val="32"/>
          <w:szCs w:val="32"/>
          <w14:textFill>
            <w14:solidFill>
              <w14:schemeClr w14:val="tx1"/>
            </w14:solidFill>
          </w14:textFill>
        </w:rPr>
        <w:t>证</w:t>
      </w:r>
      <w:r>
        <w:rPr>
          <w:rFonts w:hint="eastAsia" w:ascii="仿宋_GB2312" w:hAnsi="仿宋_GB2312" w:eastAsia="仿宋_GB2312" w:cs="仿宋_GB2312"/>
          <w:color w:val="000000" w:themeColor="text1"/>
          <w:spacing w:val="-3"/>
          <w:sz w:val="32"/>
          <w:szCs w:val="32"/>
          <w14:textFill>
            <w14:solidFill>
              <w14:schemeClr w14:val="tx1"/>
            </w14:solidFill>
          </w14:textFill>
        </w:rPr>
        <w:t>住</w:t>
      </w:r>
      <w:r>
        <w:rPr>
          <w:rFonts w:hint="eastAsia" w:ascii="仿宋_GB2312" w:hAnsi="仿宋_GB2312" w:eastAsia="仿宋_GB2312" w:cs="仿宋_GB2312"/>
          <w:color w:val="000000" w:themeColor="text1"/>
          <w:sz w:val="32"/>
          <w:szCs w:val="32"/>
          <w14:textFill>
            <w14:solidFill>
              <w14:schemeClr w14:val="tx1"/>
            </w14:solidFill>
          </w14:textFill>
        </w:rPr>
        <w:t>址：</w:t>
      </w:r>
    </w:p>
    <w:p w14:paraId="34B6F044">
      <w:pPr>
        <w:pStyle w:val="12"/>
        <w:tabs>
          <w:tab w:val="left" w:pos="2026"/>
          <w:tab w:val="left" w:pos="2027"/>
        </w:tabs>
        <w:spacing w:before="0" w:line="400" w:lineRule="exact"/>
        <w:ind w:left="0" w:firstLine="640" w:firstLineChars="200"/>
        <w:rPr>
          <w:rFonts w:ascii="仿宋_GB2312" w:hAnsi="仿宋_GB2312" w:eastAsia="仿宋_GB2312" w:cs="仿宋_GB2312"/>
          <w:color w:val="000000" w:themeColor="text1"/>
          <w:spacing w:val="-8"/>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w:t>
      </w:r>
      <w:r>
        <w:rPr>
          <w:rFonts w:hint="eastAsia" w:ascii="仿宋_GB2312" w:hAnsi="仿宋_GB2312" w:eastAsia="仿宋_GB2312" w:cs="仿宋_GB2312"/>
          <w:color w:val="000000" w:themeColor="text1"/>
          <w:spacing w:val="-17"/>
          <w:sz w:val="32"/>
          <w:szCs w:val="32"/>
          <w14:textFill>
            <w14:solidFill>
              <w14:schemeClr w14:val="tx1"/>
            </w14:solidFill>
          </w14:textFill>
        </w:rPr>
        <w:t>系</w:t>
      </w:r>
      <w:r>
        <w:rPr>
          <w:rFonts w:hint="eastAsia" w:ascii="仿宋_GB2312" w:hAnsi="仿宋_GB2312" w:eastAsia="仿宋_GB2312" w:cs="仿宋_GB2312"/>
          <w:color w:val="000000" w:themeColor="text1"/>
          <w:sz w:val="32"/>
          <w:szCs w:val="32"/>
          <w14:textFill>
            <w14:solidFill>
              <w14:schemeClr w14:val="tx1"/>
            </w14:solidFill>
          </w14:textFill>
        </w:rPr>
        <w:t>地址：</w:t>
      </w:r>
    </w:p>
    <w:p w14:paraId="2EE67091">
      <w:pPr>
        <w:pStyle w:val="12"/>
        <w:tabs>
          <w:tab w:val="left" w:pos="2026"/>
          <w:tab w:val="left" w:pos="2027"/>
        </w:tabs>
        <w:spacing w:before="0" w:line="400" w:lineRule="exact"/>
        <w:ind w:left="0" w:firstLine="608" w:firstLineChars="200"/>
        <w:rPr>
          <w:rFonts w:ascii="仿宋_GB2312" w:hAnsi="仿宋_GB2312" w:eastAsia="仿宋_GB2312" w:cs="仿宋_GB2312"/>
          <w:color w:val="000000" w:themeColor="text1"/>
          <w:spacing w:val="-8"/>
          <w:sz w:val="32"/>
          <w:szCs w:val="32"/>
          <w14:textFill>
            <w14:solidFill>
              <w14:schemeClr w14:val="tx1"/>
            </w14:solidFill>
          </w14:textFill>
        </w:rPr>
      </w:pPr>
    </w:p>
    <w:p w14:paraId="4927D1EA">
      <w:pPr>
        <w:pStyle w:val="12"/>
        <w:tabs>
          <w:tab w:val="left" w:pos="2026"/>
          <w:tab w:val="left" w:pos="2027"/>
        </w:tabs>
        <w:spacing w:before="0" w:line="400" w:lineRule="exact"/>
        <w:ind w:left="0" w:firstLine="608" w:firstLineChars="200"/>
        <w:rPr>
          <w:rFonts w:ascii="仿宋_GB2312" w:hAnsi="仿宋_GB2312" w:eastAsia="仿宋_GB2312" w:cs="仿宋_GB2312"/>
          <w:color w:val="000000" w:themeColor="text1"/>
          <w:spacing w:val="-8"/>
          <w:sz w:val="32"/>
          <w:szCs w:val="32"/>
          <w14:textFill>
            <w14:solidFill>
              <w14:schemeClr w14:val="tx1"/>
            </w14:solidFill>
          </w14:textFill>
        </w:rPr>
      </w:pPr>
    </w:p>
    <w:p w14:paraId="66C8AFE0">
      <w:pPr>
        <w:pStyle w:val="12"/>
        <w:tabs>
          <w:tab w:val="left" w:pos="2026"/>
          <w:tab w:val="left" w:pos="2027"/>
        </w:tabs>
        <w:spacing w:before="0" w:line="400" w:lineRule="exact"/>
        <w:ind w:left="0" w:firstLine="608" w:firstLineChars="200"/>
        <w:rPr>
          <w:rFonts w:ascii="仿宋_GB2312" w:hAnsi="仿宋_GB2312" w:eastAsia="仿宋_GB2312" w:cs="仿宋_GB2312"/>
          <w:color w:val="000000" w:themeColor="text1"/>
          <w:spacing w:val="-8"/>
          <w:sz w:val="32"/>
          <w:szCs w:val="32"/>
          <w14:textFill>
            <w14:solidFill>
              <w14:schemeClr w14:val="tx1"/>
            </w14:solidFill>
          </w14:textFill>
        </w:rPr>
      </w:pPr>
      <w:r>
        <w:rPr>
          <w:rFonts w:hint="eastAsia" w:ascii="仿宋_GB2312" w:hAnsi="仿宋_GB2312" w:eastAsia="仿宋_GB2312" w:cs="仿宋_GB2312"/>
          <w:color w:val="000000" w:themeColor="text1"/>
          <w:spacing w:val="-8"/>
          <w:sz w:val="32"/>
          <w:szCs w:val="32"/>
          <w14:textFill>
            <w14:solidFill>
              <w14:schemeClr w14:val="tx1"/>
            </w14:solidFill>
          </w14:textFill>
        </w:rPr>
        <w:t>根据《中华人民共和国民法典》、《金华市市属国有企业重大资产处置监督管理办法》及集团公司等相关文件制度精神，甲乙双方在平等、自愿、公平、公开和诚实信用的基础上，经协商一致，就乙方承租甲方有权出租的</w:t>
      </w:r>
      <w:r>
        <w:rPr>
          <w:rFonts w:hint="eastAsia" w:ascii="仿宋_GB2312" w:hAnsi="仿宋_GB2312" w:eastAsia="仿宋_GB2312" w:cs="仿宋_GB2312"/>
          <w:color w:val="000000" w:themeColor="text1"/>
          <w:spacing w:val="-8"/>
          <w:sz w:val="32"/>
          <w:szCs w:val="32"/>
          <w:lang w:eastAsia="zh-CN"/>
          <w14:textFill>
            <w14:solidFill>
              <w14:schemeClr w14:val="tx1"/>
            </w14:solidFill>
          </w14:textFill>
        </w:rPr>
        <w:t>多湖里</w:t>
      </w:r>
      <w:r>
        <w:rPr>
          <w:rFonts w:hint="eastAsia" w:ascii="仿宋_GB2312" w:hAnsi="仿宋_GB2312" w:eastAsia="仿宋_GB2312" w:cs="仿宋_GB2312"/>
          <w:color w:val="000000" w:themeColor="text1"/>
          <w:spacing w:val="-8"/>
          <w:sz w:val="32"/>
          <w:szCs w:val="32"/>
          <w14:textFill>
            <w14:solidFill>
              <w14:schemeClr w14:val="tx1"/>
            </w14:solidFill>
          </w14:textFill>
        </w:rPr>
        <w:t>部分面积事宜，订立本《租赁合同》（以下简称“本合同”）。</w:t>
      </w:r>
    </w:p>
    <w:p w14:paraId="41F6D842">
      <w:pPr>
        <w:rPr>
          <w:rFonts w:ascii="仿宋_GB2312" w:hAnsi="仿宋_GB2312" w:eastAsia="仿宋_GB2312" w:cs="仿宋_GB2312"/>
          <w:color w:val="000000" w:themeColor="text1"/>
          <w:spacing w:val="-8"/>
          <w:sz w:val="32"/>
          <w:szCs w:val="32"/>
          <w14:textFill>
            <w14:solidFill>
              <w14:schemeClr w14:val="tx1"/>
            </w14:solidFill>
          </w14:textFill>
        </w:rPr>
      </w:pPr>
      <w:r>
        <w:rPr>
          <w:rFonts w:hint="eastAsia" w:ascii="仿宋_GB2312" w:hAnsi="仿宋_GB2312" w:eastAsia="仿宋_GB2312" w:cs="仿宋_GB2312"/>
          <w:color w:val="000000" w:themeColor="text1"/>
          <w:spacing w:val="-8"/>
          <w:sz w:val="32"/>
          <w:szCs w:val="32"/>
          <w14:textFill>
            <w14:solidFill>
              <w14:schemeClr w14:val="tx1"/>
            </w14:solidFill>
          </w14:textFill>
        </w:rPr>
        <w:br w:type="page"/>
      </w:r>
    </w:p>
    <w:p w14:paraId="7248F1BE">
      <w:pPr>
        <w:pStyle w:val="12"/>
        <w:tabs>
          <w:tab w:val="left" w:pos="2026"/>
          <w:tab w:val="left" w:pos="2027"/>
        </w:tabs>
        <w:spacing w:before="0" w:line="400" w:lineRule="exact"/>
        <w:ind w:left="0" w:firstLine="608" w:firstLineChars="200"/>
        <w:rPr>
          <w:rFonts w:ascii="仿宋_GB2312" w:hAnsi="仿宋_GB2312" w:eastAsia="仿宋_GB2312" w:cs="仿宋_GB2312"/>
          <w:color w:val="000000" w:themeColor="text1"/>
          <w:spacing w:val="-8"/>
          <w:sz w:val="32"/>
          <w:szCs w:val="32"/>
          <w14:textFill>
            <w14:solidFill>
              <w14:schemeClr w14:val="tx1"/>
            </w14:solidFill>
          </w14:textFill>
        </w:rPr>
        <w:sectPr>
          <w:footerReference r:id="rId7" w:type="default"/>
          <w:footerReference r:id="rId8" w:type="even"/>
          <w:pgSz w:w="11910" w:h="16840"/>
          <w:pgMar w:top="2098" w:right="1587" w:bottom="2098" w:left="1587" w:header="720" w:footer="720" w:gutter="0"/>
          <w:pgNumType w:start="1"/>
          <w:cols w:space="0" w:num="1"/>
          <w:docGrid w:linePitch="299" w:charSpace="0"/>
        </w:sectPr>
      </w:pPr>
    </w:p>
    <w:p w14:paraId="2B2D6780">
      <w:pPr>
        <w:spacing w:line="400" w:lineRule="exact"/>
        <w:jc w:val="center"/>
        <w:rPr>
          <w:rFonts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第一部分</w:t>
      </w: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ab/>
      </w: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通用条款</w:t>
      </w:r>
    </w:p>
    <w:p w14:paraId="71BBD895">
      <w:pPr>
        <w:spacing w:line="480" w:lineRule="exact"/>
        <w:rPr>
          <w:rFonts w:ascii="仿宋_GB2312" w:hAnsi="仿宋_GB2312" w:eastAsia="仿宋_GB2312" w:cs="仿宋_GB2312"/>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1、定义</w:t>
      </w:r>
    </w:p>
    <w:p w14:paraId="4DDB2BF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 在本合同中，除按照上下文另有解释的以外，下列用语具有下述含义：</w:t>
      </w:r>
    </w:p>
    <w:p w14:paraId="4730FC5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w:t>
      </w:r>
      <w:r>
        <w:rPr>
          <w:rFonts w:hint="eastAsia" w:ascii="宋体" w:hAnsi="宋体" w:eastAsia="宋体" w:cs="宋体"/>
          <w:color w:val="000000" w:themeColor="text1"/>
          <w:szCs w:val="21"/>
          <w:lang w:val="en-US" w:eastAsia="zh-CN"/>
          <w14:textFill>
            <w14:solidFill>
              <w14:schemeClr w14:val="tx1"/>
            </w14:solidFill>
          </w14:textFill>
        </w:rPr>
        <w:t>1</w:t>
      </w:r>
      <w:r>
        <w:rPr>
          <w:rFonts w:hint="eastAsia" w:ascii="宋体" w:hAnsi="宋体" w:eastAsia="宋体" w:cs="宋体"/>
          <w:color w:val="000000" w:themeColor="text1"/>
          <w:szCs w:val="21"/>
          <w14:textFill>
            <w14:solidFill>
              <w14:schemeClr w14:val="tx1"/>
            </w14:solidFill>
          </w14:textFill>
        </w:rPr>
        <w:t xml:space="preserve"> “该商铺”是指本合同第24.2款所述的商铺。</w:t>
      </w:r>
    </w:p>
    <w:p w14:paraId="0C3D822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w:t>
      </w:r>
      <w:r>
        <w:rPr>
          <w:rFonts w:hint="eastAsia" w:ascii="宋体" w:hAnsi="宋体" w:eastAsia="宋体" w:cs="宋体"/>
          <w:color w:val="000000" w:themeColor="text1"/>
          <w:szCs w:val="21"/>
          <w:lang w:val="en-US" w:eastAsia="zh-CN"/>
          <w14:textFill>
            <w14:solidFill>
              <w14:schemeClr w14:val="tx1"/>
            </w14:solidFill>
          </w14:textFill>
        </w:rPr>
        <w:t>2</w:t>
      </w:r>
      <w:r>
        <w:rPr>
          <w:rFonts w:hint="eastAsia" w:ascii="宋体" w:hAnsi="宋体" w:eastAsia="宋体" w:cs="宋体"/>
          <w:color w:val="000000" w:themeColor="text1"/>
          <w:szCs w:val="21"/>
          <w14:textFill>
            <w14:solidFill>
              <w14:schemeClr w14:val="tx1"/>
            </w14:solidFill>
          </w14:textFill>
        </w:rPr>
        <w:t xml:space="preserve"> 若无特别约定，本合同中所指的“面积”是指本合同第24.3款所述的套内建筑面积，租金、管理费及其他费用的计算依据均以该面积为准。</w:t>
      </w:r>
    </w:p>
    <w:p w14:paraId="14FCF93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w:t>
      </w:r>
      <w:r>
        <w:rPr>
          <w:rFonts w:hint="eastAsia" w:ascii="宋体" w:hAnsi="宋体" w:eastAsia="宋体" w:cs="宋体"/>
          <w:color w:val="000000" w:themeColor="text1"/>
          <w:szCs w:val="21"/>
          <w:lang w:val="en-US" w:eastAsia="zh-CN"/>
          <w14:textFill>
            <w14:solidFill>
              <w14:schemeClr w14:val="tx1"/>
            </w14:solidFill>
          </w14:textFill>
        </w:rPr>
        <w:t>3</w:t>
      </w:r>
      <w:r>
        <w:rPr>
          <w:rFonts w:hint="eastAsia" w:ascii="宋体" w:hAnsi="宋体" w:eastAsia="宋体" w:cs="宋体"/>
          <w:color w:val="000000" w:themeColor="text1"/>
          <w:szCs w:val="21"/>
          <w14:textFill>
            <w14:solidFill>
              <w14:schemeClr w14:val="tx1"/>
            </w14:solidFill>
          </w14:textFill>
        </w:rPr>
        <w:t xml:space="preserve"> 若甲乙双方于本合同第26.1款所述的“约定交付日”办理商铺交付手续或符合本合同第5.2款所述情形的，该商铺的“交付日”即为该约定交付日；若属于其他情形，商铺“交付日”为根据合同第 5.3款或5.4款所确定的“实际交付日”。</w:t>
      </w:r>
    </w:p>
    <w:p w14:paraId="6AD0CEC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w:t>
      </w:r>
      <w:r>
        <w:rPr>
          <w:rFonts w:hint="eastAsia" w:ascii="宋体" w:hAnsi="宋体" w:eastAsia="宋体" w:cs="宋体"/>
          <w:color w:val="000000" w:themeColor="text1"/>
          <w:szCs w:val="21"/>
          <w:lang w:val="en-US" w:eastAsia="zh-CN"/>
          <w14:textFill>
            <w14:solidFill>
              <w14:schemeClr w14:val="tx1"/>
            </w14:solidFill>
          </w14:textFill>
        </w:rPr>
        <w:t>4</w:t>
      </w:r>
      <w:r>
        <w:rPr>
          <w:rFonts w:hint="eastAsia" w:ascii="宋体" w:hAnsi="宋体" w:eastAsia="宋体" w:cs="宋体"/>
          <w:color w:val="000000" w:themeColor="text1"/>
          <w:szCs w:val="21"/>
          <w14:textFill>
            <w14:solidFill>
              <w14:schemeClr w14:val="tx1"/>
            </w14:solidFill>
          </w14:textFill>
        </w:rPr>
        <w:t xml:space="preserve"> “交付宽限期”是指本合同第26.1款规定的宽限期。</w:t>
      </w:r>
    </w:p>
    <w:p w14:paraId="11FE7C8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w:t>
      </w:r>
      <w:r>
        <w:rPr>
          <w:rFonts w:hint="eastAsia" w:ascii="宋体" w:hAnsi="宋体" w:eastAsia="宋体" w:cs="宋体"/>
          <w:color w:val="000000" w:themeColor="text1"/>
          <w:szCs w:val="21"/>
          <w:lang w:val="en-US" w:eastAsia="zh-CN"/>
          <w14:textFill>
            <w14:solidFill>
              <w14:schemeClr w14:val="tx1"/>
            </w14:solidFill>
          </w14:textFill>
        </w:rPr>
        <w:t>5</w:t>
      </w:r>
      <w:r>
        <w:rPr>
          <w:rFonts w:hint="eastAsia" w:ascii="宋体" w:hAnsi="宋体" w:eastAsia="宋体" w:cs="宋体"/>
          <w:color w:val="000000" w:themeColor="text1"/>
          <w:szCs w:val="21"/>
          <w14:textFill>
            <w14:solidFill>
              <w14:schemeClr w14:val="tx1"/>
            </w14:solidFill>
          </w14:textFill>
        </w:rPr>
        <w:t xml:space="preserve"> “营业额”是指乙方利用该商铺从事经营活动的全部收入，且未扣除任何成本、费用、第三方扣点及税金。营业额包括但不限于在该商铺内购买货物或服务而直接支付的金额、非在该商铺内支付（如通过网上交易利用支付宝、财付通、微信、ApplePay、团购等网络支付途径支付）但在该商铺内取得商品或服务的相应金额、通过发放福利或赠与的方式在该商铺内取得的商品或服务的相应金额、因使用该商铺取得的非商业性收入，以及乙方雇员、代理人、被许可人等与乙方相关的人使用该商铺而取得的收入。各种收入的体现形式包括但不限于：（1）现金支付收入；（2）银行转账支付收入；（3）票据支付收入；（4）购物卡、预付卡券支付收入；（5）经第三方支付平台而进行的线上支付收入。</w:t>
      </w:r>
    </w:p>
    <w:p w14:paraId="62D928D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w:t>
      </w:r>
      <w:r>
        <w:rPr>
          <w:rFonts w:hint="eastAsia" w:ascii="宋体" w:hAnsi="宋体" w:eastAsia="宋体" w:cs="宋体"/>
          <w:color w:val="000000" w:themeColor="text1"/>
          <w:szCs w:val="21"/>
          <w:lang w:val="en-US" w:eastAsia="zh-CN"/>
          <w14:textFill>
            <w14:solidFill>
              <w14:schemeClr w14:val="tx1"/>
            </w14:solidFill>
          </w14:textFill>
        </w:rPr>
        <w:t>6</w:t>
      </w:r>
      <w:r>
        <w:rPr>
          <w:rFonts w:hint="eastAsia" w:ascii="宋体" w:hAnsi="宋体" w:eastAsia="宋体" w:cs="宋体"/>
          <w:color w:val="000000" w:themeColor="text1"/>
          <w:szCs w:val="21"/>
          <w14:textFill>
            <w14:solidFill>
              <w14:schemeClr w14:val="tx1"/>
            </w14:solidFill>
          </w14:textFill>
        </w:rPr>
        <w:t xml:space="preserve"> “租赁年度”是指交付日起满12个月为一个租赁年度。</w:t>
      </w:r>
    </w:p>
    <w:p w14:paraId="3574F59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w:t>
      </w:r>
      <w:r>
        <w:rPr>
          <w:rFonts w:hint="eastAsia" w:ascii="宋体" w:hAnsi="宋体" w:eastAsia="宋体" w:cs="宋体"/>
          <w:color w:val="000000" w:themeColor="text1"/>
          <w:szCs w:val="21"/>
          <w:lang w:val="en-US" w:eastAsia="zh-CN"/>
          <w14:textFill>
            <w14:solidFill>
              <w14:schemeClr w14:val="tx1"/>
            </w14:solidFill>
          </w14:textFill>
        </w:rPr>
        <w:t>7</w:t>
      </w:r>
      <w:r>
        <w:rPr>
          <w:rFonts w:hint="eastAsia" w:ascii="宋体" w:hAnsi="宋体" w:eastAsia="宋体" w:cs="宋体"/>
          <w:color w:val="000000" w:themeColor="text1"/>
          <w:szCs w:val="21"/>
          <w14:textFill>
            <w14:solidFill>
              <w14:schemeClr w14:val="tx1"/>
            </w14:solidFill>
          </w14:textFill>
        </w:rPr>
        <w:t xml:space="preserve"> “正常工作时间”是指本合同第 6.8款规定的营业时间。“非正常工作时间”是指本合同第 6.8 款规定的营业时间以外的时间。</w:t>
      </w:r>
    </w:p>
    <w:p w14:paraId="6555C0D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w:t>
      </w:r>
      <w:r>
        <w:rPr>
          <w:rFonts w:hint="eastAsia" w:ascii="宋体" w:hAnsi="宋体" w:eastAsia="宋体" w:cs="宋体"/>
          <w:color w:val="000000" w:themeColor="text1"/>
          <w:szCs w:val="21"/>
          <w:lang w:val="en-US" w:eastAsia="zh-CN"/>
          <w14:textFill>
            <w14:solidFill>
              <w14:schemeClr w14:val="tx1"/>
            </w14:solidFill>
          </w14:textFill>
        </w:rPr>
        <w:t>8</w:t>
      </w:r>
      <w:r>
        <w:rPr>
          <w:rFonts w:hint="eastAsia" w:ascii="宋体" w:hAnsi="宋体" w:eastAsia="宋体" w:cs="宋体"/>
          <w:color w:val="000000" w:themeColor="text1"/>
          <w:szCs w:val="21"/>
          <w14:textFill>
            <w14:solidFill>
              <w14:schemeClr w14:val="tx1"/>
            </w14:solidFill>
          </w14:textFill>
        </w:rPr>
        <w:t xml:space="preserve"> “物管费”是指甲方或甲方指定的管理公司（以下简称“管理公司”）对</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进行统一管理的费用，由其包干使用，其标准以本合同第28.2款的规定为准。</w:t>
      </w:r>
    </w:p>
    <w:p w14:paraId="07BF294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w:t>
      </w:r>
      <w:r>
        <w:rPr>
          <w:rFonts w:hint="eastAsia" w:ascii="宋体" w:hAnsi="宋体" w:eastAsia="宋体" w:cs="宋体"/>
          <w:color w:val="000000" w:themeColor="text1"/>
          <w:szCs w:val="21"/>
          <w:lang w:val="en-US" w:eastAsia="zh-CN"/>
          <w14:textFill>
            <w14:solidFill>
              <w14:schemeClr w14:val="tx1"/>
            </w14:solidFill>
          </w14:textFill>
        </w:rPr>
        <w:t>9</w:t>
      </w:r>
      <w:r>
        <w:rPr>
          <w:rFonts w:hint="eastAsia" w:ascii="宋体" w:hAnsi="宋体" w:eastAsia="宋体" w:cs="宋体"/>
          <w:color w:val="000000" w:themeColor="text1"/>
          <w:szCs w:val="21"/>
          <w14:textFill>
            <w14:solidFill>
              <w14:schemeClr w14:val="tx1"/>
            </w14:solidFill>
          </w14:textFill>
        </w:rPr>
        <w:t xml:space="preserve"> “税率”是指本合同签署时各项费用所适用的增值税税率，如租赁期内，当国家法定增值税税率发生变更，甲乙双方约定以不含税价格不变作为基准，调整增值税税额。</w:t>
      </w:r>
    </w:p>
    <w:p w14:paraId="5F741336">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1.1.1</w:t>
      </w:r>
      <w:r>
        <w:rPr>
          <w:rFonts w:hint="eastAsia" w:ascii="宋体" w:hAnsi="宋体" w:eastAsia="宋体" w:cs="宋体"/>
          <w:color w:val="000000" w:themeColor="text1"/>
          <w:szCs w:val="21"/>
          <w:lang w:val="en-US" w:eastAsia="zh-CN"/>
          <w14:textFill>
            <w14:solidFill>
              <w14:schemeClr w14:val="tx1"/>
            </w14:solidFill>
          </w14:textFill>
        </w:rPr>
        <w:t>0</w:t>
      </w:r>
      <w:r>
        <w:rPr>
          <w:rFonts w:hint="eastAsia" w:ascii="宋体" w:hAnsi="宋体" w:eastAsia="宋体" w:cs="宋体"/>
          <w:color w:val="000000" w:themeColor="text1"/>
          <w:szCs w:val="21"/>
          <w14:textFill>
            <w14:solidFill>
              <w14:schemeClr w14:val="tx1"/>
            </w14:solidFill>
          </w14:textFill>
        </w:rPr>
        <w:t xml:space="preserve"> “日”是指自然日；“工作日”是指按国家政府规定以日为计算单位应工作的时间。</w:t>
      </w:r>
    </w:p>
    <w:p w14:paraId="3CC62889">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1.1.1</w:t>
      </w:r>
      <w:r>
        <w:rPr>
          <w:rFonts w:hint="eastAsia" w:ascii="宋体" w:hAnsi="宋体" w:eastAsia="宋体" w:cs="宋体"/>
          <w:color w:val="000000" w:themeColor="text1"/>
          <w:szCs w:val="21"/>
          <w:lang w:val="en-US" w:eastAsia="zh-CN"/>
          <w14:textFill>
            <w14:solidFill>
              <w14:schemeClr w14:val="tx1"/>
            </w14:solidFill>
          </w14:textFill>
        </w:rPr>
        <w:t>1</w:t>
      </w:r>
      <w:r>
        <w:rPr>
          <w:rFonts w:hint="eastAsia" w:ascii="宋体" w:hAnsi="宋体" w:eastAsia="宋体" w:cs="宋体"/>
          <w:color w:val="000000" w:themeColor="text1"/>
          <w:szCs w:val="21"/>
          <w14:textFill>
            <w14:solidFill>
              <w14:schemeClr w14:val="tx1"/>
            </w14:solidFill>
          </w14:textFill>
        </w:rPr>
        <w:t xml:space="preserve"> “本合同”指本合同和附件，并包括经甲乙双方书面同意，而作出的进一步修改或补充。</w:t>
      </w:r>
    </w:p>
    <w:p w14:paraId="0649853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 在本合同中，除文义另有所指，“乙方”是指乙方或其受让人、继承人、代理人、雇员、建筑安装或装修承包商、分包商等，本合同对乙方作出的禁止或限制，对该等人士亦同样适用。</w:t>
      </w:r>
    </w:p>
    <w:p w14:paraId="573A270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1.3 若无特别约定，本合同中的金额均以人民币计价。</w:t>
      </w:r>
    </w:p>
    <w:p w14:paraId="7B514E97">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2、铺位情况</w:t>
      </w:r>
    </w:p>
    <w:p w14:paraId="722E550C">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 甲方同意出租，乙方同意承租该</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内本合同第24.2款约定的商铺，该商铺的具体位置详见附件1位置示意图。若本合同签署时</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尚未开业的，商铺编号可能依相关政府部门要求变更，甲乙双方另行签署补充协议。乙方在此确认，甲方有权自主决定对</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或其任何部分的名称随时进行变更，但甲方应在名称变更后书面通知乙方。甲方无须就</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及其任何部分的名称变更而对乙方作出任何赔偿或补偿，也无须征得乙方的同意。</w:t>
      </w:r>
    </w:p>
    <w:p w14:paraId="6B58736A">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2.2 乙方在签署本合同前已实地考察充分了解了该商铺的情况并测量过该商铺的面积。如该商铺交付时乙方认为该商铺的面积与本合同第24.3款约定的面积存在误差，则由双方确认的具有测绘资格的测绘机构对该商铺的面积进行测量，测量费用由乙方支付。若测量面积与约定面积相差5%以内（含5%），本合同无需进行任何调整。若测量面积与约定面积相差5%以上，则测量结果为最终面积，本合同相关条款需进行相应调整，并签订有关补充协议。该重新测量要求乙方应在交付日起十五日内提出，否则视为乙方同意按本合同第24.3款约定的建筑面积为最终实际租赁面积。</w:t>
      </w:r>
    </w:p>
    <w:p w14:paraId="370C0A84">
      <w:pPr>
        <w:spacing w:line="400" w:lineRule="exact"/>
        <w:ind w:firstLine="420" w:firstLineChars="200"/>
        <w:rPr>
          <w:rFonts w:ascii="宋体" w:hAnsi="宋体" w:eastAsia="宋体" w:cs="宋体"/>
          <w:color w:val="000000" w:themeColor="text1"/>
          <w:szCs w:val="21"/>
          <w14:textFill>
            <w14:solidFill>
              <w14:schemeClr w14:val="tx1"/>
            </w14:solidFill>
          </w14:textFill>
        </w:rPr>
      </w:pPr>
    </w:p>
    <w:p w14:paraId="49FC4607">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3、租赁用途与经营</w:t>
      </w:r>
    </w:p>
    <w:p w14:paraId="4CC9BEB6">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3.1 乙方向甲方承诺，租赁该商铺仅用于本合同第25条约定的经营用途。乙方保证，在租赁期内未征得甲方书面同意以及按规定须经有关部门审批而未核准前，不擅自改变本合同第25条约定的使用用途，不擅自改变该条款中所约定的经营品牌或店铺的名称。乙方并承诺遵守国家和当地有关商铺使用和管理的规定。</w:t>
      </w:r>
    </w:p>
    <w:p w14:paraId="6F5AE7A2">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3.2 乙方应于本合同签署前，按照附件2所列清单向甲方提供营业执照、身份证、品牌授权等资料、文件。</w:t>
      </w:r>
    </w:p>
    <w:p w14:paraId="7A9B44A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3.3 乙方许可甲方、甲方关联公司或甲方委托的第三方根据需要对乙方经营的品牌以及商号进行宣传，且乙方承诺不收取任何费用。</w:t>
      </w:r>
    </w:p>
    <w:p w14:paraId="06574FA4">
      <w:pPr>
        <w:spacing w:line="400" w:lineRule="exact"/>
        <w:ind w:firstLine="420" w:firstLineChars="200"/>
        <w:rPr>
          <w:rFonts w:ascii="宋体" w:hAnsi="宋体" w:eastAsia="宋体" w:cs="宋体"/>
          <w:color w:val="000000" w:themeColor="text1"/>
          <w:szCs w:val="21"/>
          <w14:textFill>
            <w14:solidFill>
              <w14:schemeClr w14:val="tx1"/>
            </w14:solidFill>
          </w14:textFill>
        </w:rPr>
      </w:pPr>
    </w:p>
    <w:p w14:paraId="1062B338">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4、租赁期限</w:t>
      </w:r>
    </w:p>
    <w:p w14:paraId="05F7A899">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4.1 该商铺的租赁期包含装修期和营业期。租赁期限、装修期为交付日（或视为交付日，下同）起相应的期间，若交付日调整的，该商铺的租赁期限及装修期均随实际交付日自动按日相应调整，具体以双方签署的交付凭证（交付确认书）为准。</w:t>
      </w:r>
    </w:p>
    <w:p w14:paraId="0E977E16">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4.2 装修期内，乙方须遵守本合同及本合同附件所有约定，并按时全额缴纳应由乙方支付的各项费用（包括但不限于装修押金、装修管理费、公用事业费等）。</w:t>
      </w:r>
    </w:p>
    <w:p w14:paraId="3FA368B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4.3 营业期为甲方</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开业之日或乙方商铺装修期届满次日两者中较晚之日（下称“营业日”）至本合同期满或提前终止之日。若乙方于装修期内提前完成装修，经双方协商一致后乙方可以提前营业，本合同关于商铺经营的相关规定在提前营业期间亦适用，经甲方同意乙方提前营业的，但试营业期间租金、管理费及其他费用需由双方协商确定。除双方另有书面约定外，营业日并不因试营业而变更，乙方已支付的装修期间的租金及相关费用（装修押金除外）也不因试营业而予以退还或变更。</w:t>
      </w:r>
    </w:p>
    <w:p w14:paraId="61155C4C">
      <w:pPr>
        <w:spacing w:line="400" w:lineRule="exact"/>
        <w:rPr>
          <w:rFonts w:ascii="宋体" w:hAnsi="宋体" w:eastAsia="宋体" w:cs="宋体"/>
          <w:color w:val="000000" w:themeColor="text1"/>
          <w:szCs w:val="21"/>
          <w14:textFill>
            <w14:solidFill>
              <w14:schemeClr w14:val="tx1"/>
            </w14:solidFill>
          </w14:textFill>
        </w:rPr>
      </w:pPr>
    </w:p>
    <w:p w14:paraId="5CB94677">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5、商铺交付</w:t>
      </w:r>
    </w:p>
    <w:p w14:paraId="4C3F5279">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5.1 该商铺的交付日见本合同第26.1款约定。如无甲方另行通知，乙方应于约定交付日前往</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办理该商铺的交接手续，由双方签署交付凭证，交付凭证为本合同的重要组成部分。双方应按约定的交付标准（详见附件3）交付。</w:t>
      </w:r>
    </w:p>
    <w:p w14:paraId="36D2C034">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5.2 如交付标准已经具备，但因乙方原因未能在约定交付日办理交接手续，则视为甲方于该日按照本合同规定的条件向乙方交付了该商铺，租赁期、装修期仍从该日起算。如乙方因其自身原因于约定交付日后15日内仍未签署交付凭证的，则甲方有权向乙方发出书面通知而终止本合同。该种情形下，甲方有权扣收保证金而无须向乙方退还，如甲方的损失超过该保证金数额，则甲方还有权要求乙方补足损失。</w:t>
      </w:r>
    </w:p>
    <w:p w14:paraId="762D6CD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5.3 甲方享有交付宽限期。乙方同意，甲方在交付宽限期内交付该商铺，不承担违约责任。若甲方未能在约定交付日交付该商铺，则甲方有权在交付宽限期内交付该商铺，并由双方签署交付凭证，该交付凭证中载明的日期为该商铺的实际交付日，租赁起止日期（包括装修期、营业期各自的起止日期）随实际交付日自动按日相应调整。若甲方未能于交付宽限期内交付该商铺，则乙方有权书面通知甲方而终止本合同，甲方应自收到乙方书面通知之日起30日内将乙方已支付的所有费用不计利息退还给乙方而无需承担其他责任。若乙方自宽限期满次日起30日未行使前述权利，则视为双方同意继续履行本合同，该商铺交付条件按照本合同约定，最终实际交付的日期为实际交付日。</w:t>
      </w:r>
    </w:p>
    <w:p w14:paraId="6DFA9CC9">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5.4 甲方若提前5天书面通知乙方调整交付日期，则双方应按调整后的日期进行商铺交付，该日期为实际交付日。</w:t>
      </w:r>
    </w:p>
    <w:p w14:paraId="29B0CEF7">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5.5 如乙方未按照本合同约定付清该商铺交付前应支付的所有款项，则甲方有权拒绝交付该商铺，且此种情况视为乙方延迟接收该商铺，甲方有权要求乙方按本合同约定承担违约责任。</w:t>
      </w:r>
    </w:p>
    <w:p w14:paraId="559E088F">
      <w:pPr>
        <w:spacing w:line="400" w:lineRule="exact"/>
        <w:rPr>
          <w:rFonts w:ascii="宋体" w:hAnsi="宋体" w:eastAsia="宋体" w:cs="宋体"/>
          <w:color w:val="000000" w:themeColor="text1"/>
          <w:szCs w:val="21"/>
          <w14:textFill>
            <w14:solidFill>
              <w14:schemeClr w14:val="tx1"/>
            </w14:solidFill>
          </w14:textFill>
        </w:rPr>
      </w:pPr>
    </w:p>
    <w:p w14:paraId="0EE422A1">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6、租金、物管费、广告费及其他费用</w:t>
      </w:r>
    </w:p>
    <w:p w14:paraId="7CC63C8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6.1 该商铺自交付日起开始计租。若交付日调整的，自调整后的实际交付日起计算。</w:t>
      </w:r>
    </w:p>
    <w:p w14:paraId="76A52B5C">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6.2 乙方应按本合同第27条约定的金额和时间支付装修期租金、物管费及装修押金。如甲方因乙方装修该商铺而遭受任何损失，甲方有权从装修押金中扣收款项以赔偿甲方损失。如甲方行使上述权利，乙方应在甲方通知之日起3日内补足装修押金。乙方完成装修经甲方验收并确认合格后，甲方应在验收合格之日起3个月内将装修押金在扣除上述扣款（如有）后一次性无息退还乙方。</w:t>
      </w:r>
    </w:p>
    <w:p w14:paraId="2F26E3C7">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6.3 乙方同意，按本合同第28.1款的约定按时、足额支付营业期租金。甲乙双方协商确定租金的收取方式，并在专用条款的第28.1.1项中勾选。固定租金是乙方承租商铺每一平方米的日租金及合计金额。提成租金是按乙方每月营业额提成。</w:t>
      </w:r>
    </w:p>
    <w:p w14:paraId="612CE4A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6.4 租金的计算以自然月为准，不足一个月的按实际天数计算。具体而言，如装修期或营业期第一个月首日（包括该日）至当月（自然月）最后一日止（包括该日）不足一个自然月，或者租赁期满或提前终止或解除时的最后一个月内的租赁期间不足一个自然月，或者租赁期内提成租金计算的月份不足一个自然月的，则该等月份的租金应根据本合同规定的租金标准，按照该月内的实际租赁天数计算，即固定租金=当月实际租赁日数*日固定租金；提成租金=当月实际租赁日数营业额*扣点（即第28.1.2项约定扣点），其余各月均为自然月。按3个月为一个支付周期的，如首月不足一个自然月的，则首个支付周期为首个不足自然月计算至当月最后一日加上两个自然月，其余各期均以3个自然月为标准计算。如按6个月或12个月为一个支付周期的，首期参考前述约定执行。提成租金以乙方每自然月营业额为基础按比例计算。</w:t>
      </w:r>
    </w:p>
    <w:p w14:paraId="73C6EB0C">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6.5 乙方同意营业期内向甲方或甲方管理公司支付该商铺的物管费，物管费的计算以自然日为准计算，具体支付时间和标准详见本合同专用条款。乙方应按本合同第28.2款的约定支付营业期物管费。物管费的支付方式和时间与租金一致。</w:t>
      </w:r>
    </w:p>
    <w:p w14:paraId="69D112BE">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6.6 乙方应于营业期内按本合同第28.3款约定向甲方或管理公司支付的广告费。广告费是指甲方用于整个</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开展宣传推广和公关活动的费用。乙方应于本合同签订前或商铺交付乙方的同时或之前，向甲方或管理公司支付的首期广告费；其后各期预付的广告费，应由乙方按照租金支付的方式和时间一并支付给甲方。甲方应根据</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经营需要，以其认为合适的方式不时开展</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宣传推广，以增加</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客流，促进</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租户整体的销售。</w:t>
      </w:r>
    </w:p>
    <w:p w14:paraId="69D2693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6.7 乙方同意，租赁期内因政府或</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变化而导致的物管费/广告费的成本增加，甲方或管理公司可视实际情况提高该</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整体的收费标准，届时，甲方或管理公司将提前一个月书面通知乙方，乙方就该商铺所应付的物管费/广告费（如有）将于通知中载明的日期起按照新标准执行。</w:t>
      </w:r>
    </w:p>
    <w:p w14:paraId="2598383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6.8 有关该商铺的其他费用，包括但不限于水费、电费、燃气费、通讯费、非正常工作时间空调供应费和设施、设备的开通或使用的费用均应由乙方承担。上述非正常工作时间是指该</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正常营业时间以外的时间，正常营业时间以甲方发布的该</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相关管理制度规定为准。乙方营业时间须与</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营业时间保持一致，乙方若要求在非正常工作时间供应空调或开通、使用设施、设备等，应向甲方或管理公司提前书面申请，经甲方或管理公司同意后方可使用。</w:t>
      </w:r>
    </w:p>
    <w:p w14:paraId="3108425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6.8.1 商户水电费单价按当地政府规定标准收取。</w:t>
      </w:r>
    </w:p>
    <w:p w14:paraId="0947CE96">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6.8.2 商户采用预充值电表，电表由甲方安装，商户需缴纳电表押金</w:t>
      </w:r>
      <w:r>
        <w:rPr>
          <w:rFonts w:hint="eastAsia" w:ascii="宋体" w:hAnsi="宋体" w:eastAsia="宋体" w:cs="宋体"/>
          <w:color w:val="000000" w:themeColor="text1"/>
          <w:szCs w:val="21"/>
          <w:u w:val="single"/>
          <w14:textFill>
            <w14:solidFill>
              <w14:schemeClr w14:val="tx1"/>
            </w14:solidFill>
          </w14:textFill>
        </w:rPr>
        <w:t>800</w:t>
      </w:r>
      <w:r>
        <w:rPr>
          <w:rFonts w:hint="eastAsia" w:ascii="宋体" w:hAnsi="宋体" w:eastAsia="宋体" w:cs="宋体"/>
          <w:color w:val="000000" w:themeColor="text1"/>
          <w:szCs w:val="21"/>
          <w14:textFill>
            <w14:solidFill>
              <w14:schemeClr w14:val="tx1"/>
            </w14:solidFill>
          </w14:textFill>
        </w:rPr>
        <w:t>元/个。充值方式：前往顾客服务中心人工充值或是商户自行在手机上安装小程序自助充值。</w:t>
      </w:r>
    </w:p>
    <w:p w14:paraId="7A42099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6.8.3 </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公区能耗及损耗需由各商户分摊。</w:t>
      </w:r>
    </w:p>
    <w:p w14:paraId="17D858E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6.8.4 计量表差和能源损耗分摊：因公用事业部门设定的计量方式原因，造成</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产生的计量表差值费用（如水表二级计量方式，造成分表之和与总表计量间存在的差值部分），由同级计量各用户（含乙方）按权重分摊。即差值分摊数=分表计量÷∑分表计量×（</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总表计量－∑分表计量）。</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内其他部分的水等能源损耗也应按照前述原则进行。</w:t>
      </w:r>
    </w:p>
    <w:p w14:paraId="6ACEA52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6.9 甲乙双方确认：乙方还需支付的其他费用详见专用条款第31.4款的约定。</w:t>
      </w:r>
    </w:p>
    <w:p w14:paraId="51150F7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6.10 本合同项下所述的相关费用应向本合同第28.4款约定的账户支付，因此所发生的费用由乙方承担，付款时间以甲方账户的到账时间为准。如合同约定的各项费用付款日为法定休息日或法定节假日的，则乙方应在法定休息日或节假日前履行义务。甲方应在收到各项费用后 15个工作日内向乙方出具等额的正式发票（或收据）。因乙方提供信息错误而导致发票信息错误的，由乙方自行承担全部责任。</w:t>
      </w:r>
    </w:p>
    <w:p w14:paraId="22F8BDC9">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6.11 如甲方收款账户变更，应提前10个工作日书面通知乙方。乙方收到通知后的租金、物管费、广告费及应向甲方支付的其他费用均应向变更后的账户支付，否则，由此产生的不当付款损失及责任由乙方承担，包括但不限于乙方仍应按本合同约定的时间向甲方变更后的账户支付租金、物管费、广告费及其他费用。</w:t>
      </w:r>
    </w:p>
    <w:p w14:paraId="382FF8AB">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6.12 与本合同相关的应交税费按照法律规定由双方各自承担（本合同已有明确约定或双方另有书面约定的除外）。</w:t>
      </w:r>
    </w:p>
    <w:p w14:paraId="2E68CD0A">
      <w:pPr>
        <w:spacing w:line="400" w:lineRule="exact"/>
        <w:rPr>
          <w:rFonts w:ascii="宋体" w:hAnsi="宋体" w:eastAsia="宋体" w:cs="宋体"/>
          <w:color w:val="000000" w:themeColor="text1"/>
          <w:szCs w:val="21"/>
          <w14:textFill>
            <w14:solidFill>
              <w14:schemeClr w14:val="tx1"/>
            </w14:solidFill>
          </w14:textFill>
        </w:rPr>
      </w:pPr>
    </w:p>
    <w:p w14:paraId="19347BD5">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7、保证金的使用/承担</w:t>
      </w:r>
    </w:p>
    <w:p w14:paraId="0AF1C112">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7.1 甲乙双方约定，乙方应于本合同签订时，按照合同第29条及《商户手册》的约定向甲方支付该商铺的保证金，包括履约保证金、质量保证金等，甲方收到上述款项后应向乙方出具收据。</w:t>
      </w:r>
    </w:p>
    <w:p w14:paraId="7D5A1E6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7.2 乙方应在本合同签订时支付全额履约保证金。乙方逾期支付履约保证金15日的，甲方有权解除本合同、将该商铺另行出租于他人，并要求乙方按本合同约定承担违约责任。</w:t>
      </w:r>
    </w:p>
    <w:p w14:paraId="0683D8C7">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7.3 履约保证金作为乙方遵守本合同及其附件有关约定和履行义务的保证。若乙方违反本合同的规定，则甲方有权以履约保证金抵付乙方所欠款项及甲方损失的赔偿，或按本合同约定没收履约保证金。除已作特别声明外，乙方履约保证金的偿扣顺序为：物管费、水电费（燃气费等）、逾期付款违约金、其他违约金或损害赔偿金、广告费、租金等。如履约保证金发生金额不足时，乙方应在收到甲方通知后的3日内补交该差额。若乙方对甲方的扣减、抵销存在异议，应当先行补足，然后再遵循相应法律程序解决。乙方无权以履约保证金抵付其在本合同项下的任何应付款项。</w:t>
      </w:r>
    </w:p>
    <w:p w14:paraId="52E209D2">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7.4 租赁关系终止时，甲方应在乙方按本合同约定交还商铺后的3个月内将履约保证金、质量保证金等在按照本合同约定作出扣除（如有）后一次性无息退还乙方。</w:t>
      </w:r>
    </w:p>
    <w:p w14:paraId="0589D85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7.5 如甲方因乙方商品或服务存在质量问题而对顾客做出赔偿，甲方有权从质量保证金/履约保证金中扣收款项以赔偿甲方损失。如甲方行使上述权利，乙方应在甲方通知之日起3日内补足质量保证金/履约保证金。</w:t>
      </w:r>
    </w:p>
    <w:p w14:paraId="14E2152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7.6 乙方在租赁期内拖欠水费、电费、燃气费、通讯费、物管费等公用事业费用上述任一费用的，甲方有权从履约保证金中扣收有关欠款及损失。如甲方行使上述权利，乙方应在甲方通知之日起3日内补足履约保证金。</w:t>
      </w:r>
    </w:p>
    <w:p w14:paraId="71CE7FB3">
      <w:pPr>
        <w:spacing w:line="400" w:lineRule="exact"/>
        <w:rPr>
          <w:rFonts w:ascii="宋体" w:hAnsi="宋体" w:eastAsia="宋体" w:cs="宋体"/>
          <w:color w:val="000000" w:themeColor="text1"/>
          <w:szCs w:val="21"/>
          <w14:textFill>
            <w14:solidFill>
              <w14:schemeClr w14:val="tx1"/>
            </w14:solidFill>
          </w14:textFill>
        </w:rPr>
      </w:pPr>
    </w:p>
    <w:p w14:paraId="0F383B7A">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8、商铺装修及修缮</w:t>
      </w:r>
    </w:p>
    <w:p w14:paraId="7B314D1B">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8.1 乙方及其承包商、代理机构与雇员必须严格遵守本合同、甲方或管理公司不时制定修改的各类管理规定（包括但不限于装修管理规定）及在装修期间提出的其他合理要求。</w:t>
      </w:r>
    </w:p>
    <w:p w14:paraId="604E91A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8.2 经政府主管部门书面批准（如需）及甲方或管理公司的书面审核确认，乙方方可对该商铺进行装修（包括对原有设施的增建及改建，下同）。除本合同另有约定，该商铺装修的全部费用由乙方承担，该商铺装修的审批、报验手续由乙方自行办理。乙方装修须由具有相关资质的工程承包商进行，其中消防、空调系统、</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管理系统和电力设施的增建及改建工作必须由甲方认可的工程承包商进行。装修垃圾清运和处理由乙方自行负责，如乙方委托第三方处理的，费用由乙方承担。</w:t>
      </w:r>
    </w:p>
    <w:p w14:paraId="4CC2AEE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8.3 乙方装修方案及图纸均需事先得到甲方书面审核确认。乙方装修应按照该等方案及图纸进行，同时应严格遵守相关的国家标准及行业规范，做到安全、文明施工。因乙方迟延提供装修施工图纸及方案，或虽提供但未获甲方及有关政府部门批准而造成的延误，视为乙方迟延装修。乙方装修不得对</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主体结构和该商铺内甲方原有的空调主机、强电主线槽、电缆、消防线路等设施进行改动或造成其损坏。</w:t>
      </w:r>
    </w:p>
    <w:p w14:paraId="6BA9A64B">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8.4 乙方的装修应符合相关法律法规、政府主管部门或相关公用事业单位的要求及本合同的约定，乙方违反上述规定/要求/约定的、损坏该商铺（及该</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的任何部分的、装修过程中存在安全隐患、应政府主管部门或相关公用事业单位的要求的，甲方有权要求乙方立即整改（包括但不限于恢复原状、修理、拆除、改建、赔偿损失等）并承担相关费用。若政府主管部门对该商铺相邻商铺（包括但不限于消防设施）提出整改要求的，乙方应提供必要的便利和协助。</w:t>
      </w:r>
    </w:p>
    <w:p w14:paraId="0C0A4F6B">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8.5 乙方装修完毕后，经甲方或管理公司验收合格方可开业；验收不合格的，乙方不得开业， 并应按照甲方或管理公司提出的修改意见立即进行整改，直到通过验收。乙方不立即整改或拒不整改的，甲方有权聘请第三方进行整改，发生的相关费用由乙方承担。乙方未能在装修期内完成装修并通过验收的，装修期限不作调整。除经甲方同意乙方提前开业或本合同另有约定外，乙方应自装修期满后次日起向甲方支付租金、物管费等费用。</w:t>
      </w:r>
    </w:p>
    <w:p w14:paraId="3126A7F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8.6 乙方装修不得影响甲方及</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内的其他商户的正常经营，也不得对人身、财产造成任何影响（包括但不限于渗水、漏水、漏电、意外伤害等）。如因乙方装修问题而给甲方或第三方造成损失及其他后果的，由乙方承担全部责任。</w:t>
      </w:r>
    </w:p>
    <w:p w14:paraId="3C05B15B">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8.7 乙方如要求在该商铺以外的区域安装乙方的标识或广告，其内容及安装施工方案应事先取得甲方及政府有关主管部门同意并向甲方支付费用。乙方应自费安装和维护该等标识或广告并应购买保险。乙方应在返还该商铺时自付费用将该等区域恢复原状。乙方广告位的使用以本合同附件广告位条款的约定或届时双方另行签订的广告位租赁合同为准。</w:t>
      </w:r>
    </w:p>
    <w:p w14:paraId="22C67512">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8.8 甲方应对</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公共部分进行维修和保养。乙方装修部分由乙方自行负责维修和保养。乙方应妥善使用和管理该商铺及甲方提供的装修、设施和设备附属设施，并使之处于良好和可使用状态（自然损耗除外）。该商铺内的易耗品（如灯泡），由乙方自行更新并承担费用。如因乙方使用不当或不合理使用导致的损坏或故障，乙方应自行负责维修。未在合理时间内维修的，甲方可代为维修，并有权从履约保证金中扣除相关费用。</w:t>
      </w:r>
    </w:p>
    <w:p w14:paraId="0DFB47F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8.9 甲方对该商铺及其附属设施进行例行维修、保养，应在合理期限内提前通知乙方，乙方应给予配合。但若遇到紧急情况需要立即进行维修，应适用13.1款规定。</w:t>
      </w:r>
    </w:p>
    <w:p w14:paraId="544288B6">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8.10 乙方如发现该商铺及附属设施出现损坏或故障，应及时通知甲方前来维修并采取合理措施防止损失扩大，乙方不得擅自处理（但在紧急情况下，乙方可出于减少损失的目的进行临时性的修理）。如乙方擅自处理该商铺及附属设施，由此造成或与此有关的人身伤害及财产损失，均由乙方负责赔偿。</w:t>
      </w:r>
    </w:p>
    <w:p w14:paraId="7A43BC3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8.11 甲方或业主方有权依自主决定对</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的整体或部分（不包括乙方承租区域）进行重新装修或增建、改建（包括对原有设施的增建、改建），但应尽量选择在非营业时间进行。该等重新装修或增建、改建影响乙方经营的，在接到业主方通知后（如有）甲方应该提前通知乙方；对乙方利益有重大影响的，双方届时应协商解决。</w:t>
      </w:r>
    </w:p>
    <w:p w14:paraId="52E0D9D9">
      <w:pPr>
        <w:spacing w:line="400" w:lineRule="exact"/>
        <w:rPr>
          <w:rFonts w:ascii="宋体" w:hAnsi="宋体" w:eastAsia="宋体" w:cs="宋体"/>
          <w:color w:val="000000" w:themeColor="text1"/>
          <w:szCs w:val="21"/>
          <w14:textFill>
            <w14:solidFill>
              <w14:schemeClr w14:val="tx1"/>
            </w14:solidFill>
          </w14:textFill>
        </w:rPr>
      </w:pPr>
    </w:p>
    <w:p w14:paraId="643C3594">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9、转租、转让</w:t>
      </w:r>
    </w:p>
    <w:p w14:paraId="45E9B586">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9.1 租赁期内，未征得甲方书面同意，乙方不得以任何形式转租、转让、分租或放弃占用租赁该商铺或其中任何部分，或以借用、共用、联营或将业务承包他人等方式以使第三方使用或占用该商铺或其部分。</w:t>
      </w:r>
    </w:p>
    <w:p w14:paraId="39EE33A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9.2 未征得甲方书面同意，乙方的以下行为或情形将被视为乙方的转租、转让行为；</w:t>
      </w:r>
    </w:p>
    <w:p w14:paraId="2835467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9.2.1 乙方为合伙企业的，为达到转租或转让目的而采取的变更合伙人或散伙的；</w:t>
      </w:r>
    </w:p>
    <w:p w14:paraId="2A4B79E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9.2.2 乙方为有限责任公司或股份有限公司的，为达到转租或转让目的而发生的收购（全部或部分）、重组、合并、分立、解散等变更公司形式的事件，且未向甲方出具合法证明文件并消除甲方顾虑的；</w:t>
      </w:r>
    </w:p>
    <w:p w14:paraId="597E008C">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9.2.3 乙方授权其委托代理人共用、占用或实际使用该商铺的部分或全部；</w:t>
      </w:r>
    </w:p>
    <w:p w14:paraId="201B1BCE">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9.3 租赁期内，未征得甲方书面同意，乙方不得将本合同项下的权利和义务转让给他人，也不得将该商铺与他人承租的商铺进行交换。乙方未经甲方同意私自转租的，无论甲方是否提出异议，均不得视为甲方同意乙方该等转租。</w:t>
      </w:r>
    </w:p>
    <w:p w14:paraId="093310C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9.4 租赁期内甲方或业主方有权自主决定转让或抵押</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的整体或部分或相应收益权，并有权自主与抵押权人协议以折价或变卖或其他方式处分该商铺。甲方应在合理期限内通知乙方。</w:t>
      </w:r>
    </w:p>
    <w:p w14:paraId="2C87FB54">
      <w:pPr>
        <w:spacing w:line="400" w:lineRule="exact"/>
        <w:rPr>
          <w:rFonts w:ascii="宋体" w:hAnsi="宋体" w:eastAsia="宋体" w:cs="宋体"/>
          <w:color w:val="000000" w:themeColor="text1"/>
          <w:szCs w:val="21"/>
          <w14:textFill>
            <w14:solidFill>
              <w14:schemeClr w14:val="tx1"/>
            </w14:solidFill>
          </w14:textFill>
        </w:rPr>
      </w:pPr>
    </w:p>
    <w:p w14:paraId="7F1FA633">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10、合同终止和解除</w:t>
      </w:r>
    </w:p>
    <w:p w14:paraId="4AB26A06">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10.1 甲、乙双方同意在租赁期内，有下列情形之一的，本合同终止，双方互不承担责任；</w:t>
      </w:r>
    </w:p>
    <w:p w14:paraId="5B8E34D6">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10.1.1 该商铺占用范围内的土地使用权依法提前收回的；</w:t>
      </w:r>
    </w:p>
    <w:p w14:paraId="5B8FDE67">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10.1.2 该商铺因社会公共利益或城市建设需要被依法征用的；</w:t>
      </w:r>
    </w:p>
    <w:p w14:paraId="0815B0EE">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10.1.3 并非因任何一方原因导致该商铺灭失、严重毁损或者被鉴定为危险商铺，以致无法使用并且在 90 日之内无法修复的；</w:t>
      </w:r>
    </w:p>
    <w:p w14:paraId="2ED6BEE6">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10.2 甲、乙双方同意，有下列情形之一的，一方有权书面通知另一方解除本合同。同时，违约方应按本合同约定承担违约责任；</w:t>
      </w:r>
    </w:p>
    <w:p w14:paraId="2C8DE1E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10.2.1 甲方交付的该商铺不符合本合同的约定，致使不能实现租赁目的的；</w:t>
      </w:r>
    </w:p>
    <w:p w14:paraId="5D625A74">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10.2.2 甲方交付的商铺存在缺陷，危及乙方安全，而甲方又未在合理期限内消除前述情形的；</w:t>
      </w:r>
    </w:p>
    <w:p w14:paraId="2662BBB7">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10.2.3 乙方未征得甲方书面同意改变商铺用途或变更商铺名称、经营品牌或品类的；</w:t>
      </w:r>
    </w:p>
    <w:p w14:paraId="39EB019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10.2.4 乙方未征得甲方书面同意而改变商铺主体结构或主要设施，或因乙方原因造成该商铺主体结构或主要设施损坏的；</w:t>
      </w:r>
    </w:p>
    <w:p w14:paraId="09ABB19A">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10.2.5 乙方违反第9条相关约定，擅自转让、转租、分租或放弃占用租赁该商铺或其中任何部分，或将业务承包他人，或与他人交换各自承租的商铺的；</w:t>
      </w:r>
    </w:p>
    <w:p w14:paraId="069A2A7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10.2.6 乙方逾期支付租金或本合同规定的其他任何应付款项累计超过</w:t>
      </w:r>
      <w:r>
        <w:rPr>
          <w:rFonts w:hint="eastAsia" w:ascii="宋体" w:hAnsi="宋体" w:eastAsia="宋体" w:cs="宋体"/>
          <w:color w:val="000000" w:themeColor="text1"/>
          <w:szCs w:val="21"/>
          <w:u w:val="single"/>
          <w14:textFill>
            <w14:solidFill>
              <w14:schemeClr w14:val="tx1"/>
            </w14:solidFill>
          </w14:textFill>
        </w:rPr>
        <w:t>1</w:t>
      </w:r>
      <w:r>
        <w:rPr>
          <w:rFonts w:ascii="宋体" w:hAnsi="宋体" w:eastAsia="宋体" w:cs="宋体"/>
          <w:color w:val="000000" w:themeColor="text1"/>
          <w:szCs w:val="21"/>
          <w:u w:val="single"/>
          <w14:textFill>
            <w14:solidFill>
              <w14:schemeClr w14:val="tx1"/>
            </w14:solidFill>
          </w14:textFill>
        </w:rPr>
        <w:t>5</w:t>
      </w:r>
      <w:r>
        <w:rPr>
          <w:rFonts w:hint="eastAsia" w:ascii="宋体" w:hAnsi="宋体" w:eastAsia="宋体" w:cs="宋体"/>
          <w:color w:val="000000" w:themeColor="text1"/>
          <w:szCs w:val="21"/>
          <w14:textFill>
            <w14:solidFill>
              <w14:schemeClr w14:val="tx1"/>
            </w14:solidFill>
          </w14:textFill>
        </w:rPr>
        <w:t>天的或累计逾期支付款项超过</w:t>
      </w:r>
      <w:r>
        <w:rPr>
          <w:rFonts w:hint="eastAsia" w:ascii="宋体" w:hAnsi="宋体" w:eastAsia="宋体" w:cs="宋体"/>
          <w:color w:val="000000" w:themeColor="text1"/>
          <w:szCs w:val="21"/>
          <w:u w:val="single"/>
          <w14:textFill>
            <w14:solidFill>
              <w14:schemeClr w14:val="tx1"/>
            </w14:solidFill>
          </w14:textFill>
        </w:rPr>
        <w:t>3</w:t>
      </w:r>
      <w:r>
        <w:rPr>
          <w:rFonts w:hint="eastAsia" w:ascii="宋体" w:hAnsi="宋体" w:eastAsia="宋体" w:cs="宋体"/>
          <w:color w:val="000000" w:themeColor="text1"/>
          <w:szCs w:val="21"/>
          <w14:textFill>
            <w14:solidFill>
              <w14:schemeClr w14:val="tx1"/>
            </w14:solidFill>
          </w14:textFill>
        </w:rPr>
        <w:t>次的；</w:t>
      </w:r>
    </w:p>
    <w:p w14:paraId="6972742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10.2.7 乙方将该商铺用于任何非法目的或乙方营业执照所列经营范围以外之目的；</w:t>
      </w:r>
    </w:p>
    <w:p w14:paraId="18AA696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10.2.8 乙方的品牌代理权或经营权未得到经营许可或者先前得到的许可被撤销、被终止或中止的；</w:t>
      </w:r>
    </w:p>
    <w:p w14:paraId="2520D33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10.2.9 乙方被强迫或自愿进入清算程序（以重组或合并为目的者除外）、重大诉讼程序， 或乙方之财产被查封、扣押或强制执行，或乙方被接管人接收，以至于乙方不能维持正常经营的；</w:t>
      </w:r>
    </w:p>
    <w:p w14:paraId="3EBDE99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10.2.10 未征得甲方书面同意，乙方因其自身原因致使装修期届满超过30天该商铺仍未开业经营，或开业后该商铺因乙方自身原因停止营业持续超过24小时的；</w:t>
      </w:r>
    </w:p>
    <w:p w14:paraId="4017978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10.2.11 乙方在经营中发生重大安全事故或是严重违反《商户手册》、《装修手册》中消防安全管理等安全管理的相关约定；</w:t>
      </w:r>
    </w:p>
    <w:p w14:paraId="4F003429">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10.2.12 乙方商铺营业额未能达到本合同约定最低营业额的；</w:t>
      </w:r>
    </w:p>
    <w:p w14:paraId="3BEAF84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10.2.13 乙方违反本合同的其他约定，且在甲方书面发出整改通知后，在指定期限内未能改正的；</w:t>
      </w:r>
    </w:p>
    <w:p w14:paraId="7BF4803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10.2.14 法律法规允许任何一方解除合同之情形，以及甲、乙双方在其他条款或以其他书面形式约定的单方解除合同的情形。</w:t>
      </w:r>
    </w:p>
    <w:p w14:paraId="6B83A1D4">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10.3 如至租赁期限届满，双方仍未就续租完成书面合同签署的，合同于租赁期满之日即终止。</w:t>
      </w:r>
    </w:p>
    <w:p w14:paraId="731A1A3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10.4 合同期满终止或因其他原因导致合同提前解除，乙方应在合同终止或提前解除前自行完成其发行的预付卡等（如有）善后处理事项。若乙方在合同终止或解除后仍未完全解决上述事项，乙方应指定全权负责人，并确保其通讯畅通。如因乙方未能解决该等事项造成甲方损失的，甲方有权不予退还乙方所有保证金并有权就全部损失向乙方追偿。</w:t>
      </w:r>
    </w:p>
    <w:p w14:paraId="42EFF038">
      <w:pPr>
        <w:spacing w:line="400" w:lineRule="exact"/>
        <w:rPr>
          <w:rFonts w:ascii="宋体" w:hAnsi="宋体" w:eastAsia="宋体" w:cs="宋体"/>
          <w:color w:val="000000" w:themeColor="text1"/>
          <w:szCs w:val="21"/>
          <w14:textFill>
            <w14:solidFill>
              <w14:schemeClr w14:val="tx1"/>
            </w14:solidFill>
          </w14:textFill>
        </w:rPr>
      </w:pPr>
    </w:p>
    <w:p w14:paraId="4F26EC9F">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11、甲方的违约责任</w:t>
      </w:r>
    </w:p>
    <w:p w14:paraId="1ADE713A">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11.1 该商铺交付时存在缺陷的，双方应在交付凭证上填列确认，甲方应在交付后的合理期限内进行修复，逾期不修复的，甲方同意减少未修复期间的租金并变更相关条款。</w:t>
      </w:r>
    </w:p>
    <w:p w14:paraId="63AD38F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11.2 租赁期间，甲方履行本合同约定的维修、养护责任时，因甲方故意或重大过失致使商铺毁损、灭失，造成乙方或/和第三方财产损失或人身伤害的，甲方应承担赔偿责任。</w:t>
      </w:r>
    </w:p>
    <w:p w14:paraId="7A2592C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11.3 乙方同意，在下述情况下，甲方无须承担任何责任，且乙方本合同项下之租金及其他费用不得减免或中止支付；</w:t>
      </w:r>
    </w:p>
    <w:p w14:paraId="53262C7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11.3.1 按本合同规定对该商铺、相邻商铺或</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其他区域进行维修、保养、重新装修或增建、改建，致使公用设施临时性停止使用或公共服务临时中断。</w:t>
      </w:r>
    </w:p>
    <w:p w14:paraId="14E16ED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11.3.2 由于乙方或第三者的原因造成的人身损害或财产损失。</w:t>
      </w:r>
    </w:p>
    <w:p w14:paraId="6D37DE4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11.3.3 乙方因自身原因被政府要求暂停或停止营业而遭受的损失。</w:t>
      </w:r>
    </w:p>
    <w:p w14:paraId="3CDC9334">
      <w:pPr>
        <w:spacing w:line="400" w:lineRule="exact"/>
        <w:rPr>
          <w:rFonts w:ascii="宋体" w:hAnsi="宋体" w:eastAsia="宋体" w:cs="宋体"/>
          <w:color w:val="000000" w:themeColor="text1"/>
          <w:szCs w:val="21"/>
          <w14:textFill>
            <w14:solidFill>
              <w14:schemeClr w14:val="tx1"/>
            </w14:solidFill>
          </w14:textFill>
        </w:rPr>
      </w:pPr>
    </w:p>
    <w:p w14:paraId="1774820F">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12、乙方的违约责任</w:t>
      </w:r>
    </w:p>
    <w:p w14:paraId="15CC1129">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12.1 乙方未征得甲方书面同意或者超出甲方书面同意的范围和要求进行装修的，甲方有权要求乙方恢复该商铺原状并赔偿损失。甲乙双方确认，甲方不因审核及同意乙方的装修施工图纸及方案而承担任何责任，所有与该商铺装修有关的责任由乙方自行承担。</w:t>
      </w:r>
    </w:p>
    <w:p w14:paraId="5943EC4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12.2 乙方擅自中途退租的，即构成乙方的严重违约，在此情况下，甲方有权要求乙方继续履行本合同并就所发生的损失向乙方索赔。如甲方认为继续履行合同已无可能或必要，则有权单方解除本合同，并按合同约定向乙方索赔。</w:t>
      </w:r>
    </w:p>
    <w:p w14:paraId="331BF5B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12.3 甲方按本合同约定行使合同解除权的，乙方已支付的所有保证金、租金（无论该等租金所对应的租赁期间是否届满）等款项均不予退还，如乙方存在租金、物管费、广告费等费用的欠费应当于合同解除或终止时足额缴纳。如发生在装修期，则按营业期首月租金、广告费和物管费执行），如乙方支付的违约金不足以弥补由此而给甲方造成的实际损失的，乙方应补足损失的差额部分。甲方因此而遭受的实际损失包括但不限于租金损失、中介费、广告费、装饰装修拆除费、留存物品保管费和处理费、物料费、法院诉讼费、仲裁费、律师费、保全费、担保费、公证费、审计费、鉴定费等。</w:t>
      </w:r>
    </w:p>
    <w:p w14:paraId="66BB58E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12.4 在租赁期内，乙方逾期支付本合同约定的应交款项的，每逾期一天，则应按逾期支付之款项（含税）的 0.1%支付逾期付款违约金。逾期支付上述任何款项超过7天的，甲方有权经提前1个工作日通知乙方后停止有关能源、设施、设备等的供应或禁止有关使用，因此造成的一切后果由乙方自行承担，甲方对乙方采取停止有关能源、设施、设备等的供应或禁止有关使用的措施后，不免除乙方缴纳相关款项的义务。</w:t>
      </w:r>
    </w:p>
    <w:p w14:paraId="4502ED1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12.5 乙方销售的商品或提供的服务，如侵犯了他人的合法权益或被相关权威部门判定为不合格，由此导致的一切责任由乙方承担。如因此给甲方造成损失或带来负面影响的，乙方须赔偿甲方的损失并负责消除其给甲方带来的不良影响。在乙方因此产生的与消费者的纠纷最终解决前，甲方有权遵照法律法规的要求自主决定对消费者先行赔付，然后从乙方的质量保证金或履约保证金中直接扣除或向乙方追偿，乙方应服从配合甲方上述决定。</w:t>
      </w:r>
    </w:p>
    <w:p w14:paraId="45102EBE">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12.6 乙方在装修和经营期间因违反本合同约定或因其过错给甲方或第三方造成人身及财产损害的，乙方应承担全部赔偿责任。若甲方作为业主或</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管理方而被要求代乙方做出赔偿的，甲方有权向乙方追偿。</w:t>
      </w:r>
    </w:p>
    <w:p w14:paraId="547ABDA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12.7 如乙方在未办妥该商铺经营所需的全部手续（包括但不限于营业执照、政府审批或许可、品牌权利人的授权）的情况下开业，则一旦因手续不齐全而被政府有关部门查处，由乙方自行承担一切后果；如因此给甲方造成损失的，乙方应给予赔偿。同时，甲方有权责令乙方停业整改或解除合同，停业整改期间每日乙方除应缴纳其依照本合同应缴纳的租金、物管费等一切费用外，还需按当月日平均租金、广告费及物管费之和的标准向甲方支付违约金。</w:t>
      </w:r>
    </w:p>
    <w:p w14:paraId="36E42C19">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12.8 在租赁期限内乙方无权使用或无权继续使用该商铺所经营品牌、商标、字号，或存在安全隐患的，甲方有权责令乙方停业整改。若乙方未在合理期间内完成整改，则甲方有权按本合同约定解除合同并要求乙方承担相应违约责任。</w:t>
      </w:r>
    </w:p>
    <w:p w14:paraId="0D77317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12.9 甲方给予乙方装修期是以在乙方租满本合同规定的租赁期并遵守本合同各项条款为前提。如乙方实际租赁不满本合同规定的租赁期或违反本合同的任何条款及规定导致本合同提前解除的，乙方除须承担本合同第12.3款所规定的违约责任外，还应向甲方支付补偿金，补偿金标准见本合同第27.1款约定。如乙方在装修期发生违约的，违约金金额均以营业期首月租金、广告费和物管费为标准。</w:t>
      </w:r>
    </w:p>
    <w:p w14:paraId="2C5A680E">
      <w:pPr>
        <w:spacing w:line="400" w:lineRule="exact"/>
        <w:rPr>
          <w:rFonts w:ascii="宋体" w:hAnsi="宋体" w:eastAsia="宋体" w:cs="宋体"/>
          <w:color w:val="000000" w:themeColor="text1"/>
          <w:szCs w:val="21"/>
          <w14:textFill>
            <w14:solidFill>
              <w14:schemeClr w14:val="tx1"/>
            </w14:solidFill>
          </w14:textFill>
        </w:rPr>
      </w:pPr>
    </w:p>
    <w:p w14:paraId="09E71764">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13、该商铺的出入</w:t>
      </w:r>
    </w:p>
    <w:p w14:paraId="6859DE9A">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13.1 甲方或其雇员或管理公司，出于该商铺的维修、保养、卫生、安全、防火或人员救护等需要，经事先联系乙方后，可进入该商铺进行检查或采取适当措施。但如遇紧急情况，甲方不能直接在现场或通过乙方备案电话（需24小时开通）找到乙方人员时，甲方也可不经乙方许可进入该商铺采取必要措施，事后再尽快与乙方取得联系。如因本款规定的原因，致使该商铺发生损坏或使乙方发生损失，甲方均不承担任何责任。</w:t>
      </w:r>
    </w:p>
    <w:p w14:paraId="03742AE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13.2 经事先通知乙方，甲方有权在合理时间内陪同可能的新业主或新租户参观该商铺，但应尽量减少对乙方工作的影响。</w:t>
      </w:r>
    </w:p>
    <w:p w14:paraId="505E24CE">
      <w:pPr>
        <w:spacing w:line="400" w:lineRule="exact"/>
        <w:rPr>
          <w:rFonts w:ascii="宋体" w:hAnsi="宋体" w:eastAsia="宋体" w:cs="宋体"/>
          <w:color w:val="000000" w:themeColor="text1"/>
          <w:szCs w:val="21"/>
          <w14:textFill>
            <w14:solidFill>
              <w14:schemeClr w14:val="tx1"/>
            </w14:solidFill>
          </w14:textFill>
        </w:rPr>
      </w:pPr>
    </w:p>
    <w:p w14:paraId="269368D8">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14、该商铺的交还</w:t>
      </w:r>
    </w:p>
    <w:p w14:paraId="4E3C7208">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14.1 除续租或双方另有约定，乙方应于租赁期满或本合同提前终止或解除之日向甲方交还该商铺并办理交接收手续。未经甲方同意乙方逾期不交还该商铺的，视为乙方已放弃对该商铺内一切物品的所有权，甲方有权不经催告即进入该商铺内对乙方物品和装修进行处置而无须承担任何责任。甲方处置商铺内物品的费用由乙方承担，物品处置所得（如有）优先用于清偿处理费用。而后按照物管费、水电费（燃气费等）、逾期付款违约金、其他违约金或损害赔偿金、广告费、租金等的顺序抵偿。乙方逾期交还该商铺的，每逾期一日，乙方应按照最后一个租赁月的日平均租金（含税）及物管费（含税）之和两倍的标准向甲方支付占用使用费，并应承担实际发生的水、电、广告费及其他费用。如因乙方逾期交还该商铺而造成甲方其他损失的，乙方还应承担赔偿责任。甲方按照本合同约定清理该商铺内乙方的物品、设施及设备的合理期间，视为乙方逾期交还期间。</w:t>
      </w:r>
    </w:p>
    <w:p w14:paraId="5745DF0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14.2 乙方向甲方交还该商铺前，应自费搭建围挡、拆除商铺装修，将该商铺恢复至交付时的状态，以使该商铺可重新出租。乙方未将商铺恢复至交付时的状态的，甲方有权自行恢复，因此而产生的相关费用由乙方承担，甲方也可直接从乙方的各类保证金中直接予以扣除。如届时甲方书面同意乙方无需将该商铺恢复原状的，乙方应使该商铺处于清洁、完好并可出租状态。</w:t>
      </w:r>
    </w:p>
    <w:p w14:paraId="4A2C4DBE">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14.3 该商铺交还时，还应符合如下条件（如以下一项或多项条件未满足，而甲方仍要求交还的，乙方应根据甲方要求交还商铺，并根据甲方要求继续完成该等未满足的条件）：</w:t>
      </w:r>
    </w:p>
    <w:p w14:paraId="2F41BF9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14.3.1 乙方已付清一切应付款项，包括但不限于该商铺租金、物管费等各类违约金、损害赔偿金（如有）等；</w:t>
      </w:r>
    </w:p>
    <w:p w14:paraId="7BBBD0E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14.3.2 乙方以该商铺作为工商注册地的，乙方已在租赁期限届满或租赁合同提前解除日启动注册地变更或注销手续，并承诺在30日内完成上述手续，使该商铺可重新作为工商注册地供新租户使用；否则，每逾期一天，应向甲方支付相当于最后一个租赁年度该商铺日平均租金（含税）的标准作为违约金。</w:t>
      </w:r>
    </w:p>
    <w:p w14:paraId="4982A339">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14.3.3 若乙方办理过有关该商铺的水、电、燃气、通讯、网络等的转户或开户手续的，乙方已根据甲方要求办理完毕相应的转户或销户手续；</w:t>
      </w:r>
    </w:p>
    <w:p w14:paraId="08DE57B9">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14.3.4 乙方发放的以该商铺为经营场所或其他与该商铺有关的预付卡（或其他同等性质的卡券）的退卡以及退费问题已经完成，被投诉等售后服务问题已经解决；</w:t>
      </w:r>
    </w:p>
    <w:p w14:paraId="26786B8C">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14.3.5 乙方已配合甲方开具所需的增值税红字发票（如有）；</w:t>
      </w:r>
    </w:p>
    <w:p w14:paraId="606F18BC">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14.3.6 乙方利用该商铺的其他经营事务已经解决。</w:t>
      </w:r>
    </w:p>
    <w:p w14:paraId="61C0960A">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14.4 乙方按前述规定交还该商铺时，如甲方发现该商铺或本合同附件三所列的装修、设备和设施被损坏或遗失（自然损耗除外），甲方有权要求乙方赔偿损失并直接从乙方的履约保证金中予以扣除。如租赁保证金不足以赔偿甲方损失的，甲方有权要求乙方补足差额。</w:t>
      </w:r>
    </w:p>
    <w:p w14:paraId="198DB43E">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14.5 无论何种原因造成合同解除、终止或提前终止，乙方均有义务向甲方交回商铺，由于乙方自行提前迁出该商铺，致使该商铺被第三者未经甲方同意而占据，不论乙方对该等占据是否知晓或同意，乙方应对因其自行迁出和该商铺被占用而引起甲方的所有损失和费用承担赔偿责任。</w:t>
      </w:r>
    </w:p>
    <w:p w14:paraId="0D05864B">
      <w:pPr>
        <w:spacing w:line="400" w:lineRule="exact"/>
        <w:rPr>
          <w:rFonts w:ascii="宋体" w:hAnsi="宋体" w:eastAsia="宋体" w:cs="宋体"/>
          <w:color w:val="000000" w:themeColor="text1"/>
          <w:szCs w:val="21"/>
          <w14:textFill>
            <w14:solidFill>
              <w14:schemeClr w14:val="tx1"/>
            </w14:solidFill>
          </w14:textFill>
        </w:rPr>
      </w:pPr>
    </w:p>
    <w:p w14:paraId="6CA03192">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15、甲方的义务</w:t>
      </w:r>
    </w:p>
    <w:p w14:paraId="7F6D182F">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除本合同其他条款规定的甲方义务外，甲方还应履行下列义务：</w:t>
      </w:r>
    </w:p>
    <w:p w14:paraId="7DCBC89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15.1 甲方应按本合同规定的条款和条件向乙方提供可以正常使用的商铺。</w:t>
      </w:r>
    </w:p>
    <w:p w14:paraId="6FFBB674">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15.2 在租赁期内，甲方如拟在该商铺内进行重新装修或增建、改建，须事先经乙方同意，但乙方不应不合理地拒绝。</w:t>
      </w:r>
    </w:p>
    <w:p w14:paraId="6208190C">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15.3 除本合同及《商户手册》项下应由乙方承担的税费外，甲方应承担作为出租人应付的与该商铺有关的税费。</w:t>
      </w:r>
    </w:p>
    <w:p w14:paraId="5DC1E1A2">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15.4 除按本合同规定行使甲方的权利外，甲方不得对乙方正常合理使用该商铺进行干扰或妨碍。</w:t>
      </w:r>
    </w:p>
    <w:p w14:paraId="02575C0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15.5 签署本合同之前，甲方应向乙方提供其营业执照复印件、房屋所有权证明或其他可以证明甲方为该商铺权利人或合法出租人的证明文件。</w:t>
      </w:r>
    </w:p>
    <w:p w14:paraId="4819049C">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15.6 甲方及/或其管理公司承担的正常管理与安全维护义务的范围，仅限于该</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公共区域，甲方及/或其管理公司不承担乙方承租商铺内部人身和财产的安全维护义务。除因甲方故意或重大过失直接导致的情形外，乙方应自行承担该商铺内部所遭受的人身和财产损失；同时，乙方在本合同项下所应支付的租金、物管费及其他任何费用均不得因此减少或停止支付。</w:t>
      </w:r>
    </w:p>
    <w:p w14:paraId="508B31F5">
      <w:pPr>
        <w:spacing w:line="400" w:lineRule="exact"/>
        <w:ind w:firstLine="420" w:firstLineChars="200"/>
        <w:rPr>
          <w:rFonts w:ascii="宋体" w:hAnsi="宋体" w:eastAsia="宋体" w:cs="宋体"/>
          <w:color w:val="000000" w:themeColor="text1"/>
          <w:szCs w:val="21"/>
          <w14:textFill>
            <w14:solidFill>
              <w14:schemeClr w14:val="tx1"/>
            </w14:solidFill>
          </w14:textFill>
        </w:rPr>
      </w:pPr>
    </w:p>
    <w:p w14:paraId="5BDDA257">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16、乙方的义务</w:t>
      </w:r>
    </w:p>
    <w:p w14:paraId="17AEFA3A">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除本合同其他条款规定的乙方义务外，乙方还应履行下列义务：</w:t>
      </w:r>
    </w:p>
    <w:p w14:paraId="58F0722A">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16.1 甲方公布的《商户手册》以及甲方不时制定和修改的关于</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管理的其他制度、指引、规定作为本合同附件，是本合同的组成部分，乙方应严格遵守。</w:t>
      </w:r>
    </w:p>
    <w:p w14:paraId="750A9504">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乙方应主动了解《商户手册》以及其他制度、指引、规定的内容，不得以各种理由不遵守甲方已公布的关于</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管理的各项规定。</w:t>
      </w:r>
    </w:p>
    <w:p w14:paraId="0BABF82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16.2 乙方工作人员由乙方自行依法聘用并负担工资、社保等全部费用。乙方人员应遵守甲方的规章制度，甲方有权要求乙方更换有违规违纪行为的工作人员。</w:t>
      </w:r>
    </w:p>
    <w:p w14:paraId="0583C3F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16.3 乙方应向甲方提供所有参与该商铺经营与管理的人员名单，并在该等人员中指定一到两名负责人负责该商铺的日常经营管理和</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管理文件的接收，乙方应向甲方提交正式有效的授权书。</w:t>
      </w:r>
    </w:p>
    <w:p w14:paraId="089F471A">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16.4 乙方不得销售假冒伪劣或者其他侵权违规的商品，确保所销售产品或提供的服务的质量，承担质量责任，维护</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整体商业形象。</w:t>
      </w:r>
    </w:p>
    <w:p w14:paraId="25FEAB8B">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16.5 乙方应取得在该商铺内合法开展经营活动而必需的所有批准、营业执照、许可证及品牌授权等资质文件，并保证该等资质文件在经营期间持续有效，乙方应将上述资质文件（包括更新的文件）及时提供给甲方。</w:t>
      </w:r>
    </w:p>
    <w:p w14:paraId="29563F2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16.6 乙方应按甲方要求积极配合办理本合同在相关房地产管理部门的租赁合同登记备案（如需），包括但不限于提供合法有效的营业执照等文件及签署必要的文件等。</w:t>
      </w:r>
    </w:p>
    <w:p w14:paraId="1D4B7EC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16.7 乙方在该商铺内的物品应自行妥善保管，如非甲方原因而造成的损毁或遗失，甲方不承担任何责任。</w:t>
      </w:r>
    </w:p>
    <w:p w14:paraId="076DDDC4">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16.8 甲乙双方特此同意，在合同期内，如乙方的现有股东结构发生变更，从而使得乙方的现有控股股东不再成为乙方的直接或间接控股股东或第一大股东，则乙方应于有关该股东变更之协议书签署之日或该股东变更经政府有关部门批准或登记之日起3日内通知甲方。若新股东变更后乙方无法正常履行本合同，则甲方有权（但无义务）在接到该通知后或在甲方知道乙方该等控股股东结构发生变更之日后解除本合同，收回该商铺，并没收乙方所缴纳的履约保证金。若因此而给甲方造成损失，乙方应赔偿甲方全部损失。</w:t>
      </w:r>
    </w:p>
    <w:p w14:paraId="2945477B">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16.9 为配合甲方经营管理，乙方同意：（1）如实向甲方提供月营业额登记表；（2）同意甲方或经甲方授权的人有权随时查核有关营业额的资料（包括但不限于审计报告、有关营业额的数据、记录、发票、单据、报税单、完税凭证及其他凭证等）并进行复印，并同意甲方或经甲方授权的人有权随时对乙方在该商铺内经营活动的情况及有关账目进行核查。</w:t>
      </w:r>
    </w:p>
    <w:p w14:paraId="4F24643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16.10 如乙方在该商铺内向顾客发行预付卡（包括但不限于诸如会员卡、预付卡、消费卡、智能卡、积分卡等名称不同但均为先付费再消费的卡片或其他形式，统称为“预付卡”），应及时通知甲方并按甲方要求提供相应资料及做必要的备案登记，签署《预付卡发行承诺书》（具体名称以实际签署的为准）并遵守其约定。如乙方发行预付卡，乙方应遵守国家法律法规、部门规章对发行前述预付卡的相关规定及《商户手册》中的相关管理规范，不得损害购卡者合法权益，更不得以此名义直接或间接非法集资或非法吸收公众存款。乙方同意，甲方有权（但无义务）随时检查乙方发售的任何预付卡的具体情况，包括但不限于发行数量、发行金额及起止日期等。甲方有权根据对</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商铺的管理需要及/或为保护自身或消费者的合法权益，要求乙方停止发行预付卡行为，乙方应当提供相应的配合。若本合同期限届满或因任何原因提前解除的，乙方应于本合同期限届满或提前解除之日前150日内，于商铺外显眼位置张贴停业通告（包含停业原因及搬迁后的联系方式等信息），并采取其他合理方式（包括但不限于短信、邮件等）告知购买或持有预付卡的第三方前往办理退款事宜，并将退款事宜办理完毕的证明文件提供给甲方，否则，甲方有权不予返还乙方已支付的各项保证金及已付但未实际发生的各项费用，直至乙方履行完前述义务之日止。乙方承诺，乙方发行预付卡并向甲方备案的行为不会在任何方面增加甲方的义务或责任，同时，也不会在任何方面减轻或免除乙方在出售预付卡应向任何第三方承担的义务或责任。因该等预付卡产生的纠纷，由乙方自行解决，若因此造成甲方损失的，甲方有权就全部损失向乙方追偿。</w:t>
      </w:r>
    </w:p>
    <w:p w14:paraId="4CF8085C">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16.11 乙方在该商铺内的经营须自行办理有关证照，但乙方以该商铺为经营地址办理营业执照时仅能设立企业分支机构或个体工商户，不得设立其他形式的企业或机构，亦不得将已设立的其他形式的企业或机构的注册、经营地址变更为该商铺地址。</w:t>
      </w:r>
    </w:p>
    <w:p w14:paraId="7830474C">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16.12 乙方有义务积极配合参加甲方组织的宣传推广活动。</w:t>
      </w:r>
    </w:p>
    <w:p w14:paraId="2597295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16.13 本合同履行期间，未经甲方书面确认，乙方不得将任何应付款以现金或其他形式支付给甲方经办人员或转入其私人账户。乙方不得以任何名义向甲方人员进行贿赂（包括各种财物或其他利益），否则，一经查实（包括但不限于被甲方核实属实，或者被司法机关或第三人核实属实的），乙方除应向甲方赔偿由此给甲方造成的损失外，乙方还承诺向甲方支付最高相当于合同总价（以事件发生前6个月乙方每月平均应付金额*本合同约定的租赁月数）的10%的违约金，并对乙方相关责任人员进行处罚；另外，甲方有权单方解除本合同并要求乙方按本合同的约定承担违约责任。（乙方给予甲方人员财物或其他利益，即使行为未遂，仍按本条款处理。乙方或乙方人员因甲方人员索取财物或其他利益而给予财物或其他利益的，亦按本条款处理）。</w:t>
      </w:r>
    </w:p>
    <w:p w14:paraId="707D7F09">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若甲方员工或受甲方委托对该商铺进行管理的公司员工向乙方提出任何索贿要求，乙方须立即通知甲方。如果有确切证据能够证明甲方员工或受甲方委托对该商铺进行管理的公司员工存在上述非法行为，甲方将采取适当措施保护双方的利益。仅为此目的且无论本合同是否另设通知条款约定有其他通知方式，乙方均可直接通知甲方。</w:t>
      </w:r>
    </w:p>
    <w:p w14:paraId="4A72930A">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16.14 乙方经营期间应严格遵守治安、消防、监管、环保、税务、物价等部门的有关规定执行，并依法亮证照经营，并严格加强消防安全管理，落实消防相关制度，遵守各项消防安全制度。消防及其他所有安全管理均有乙方负责，所有安全责任均由乙方处理和承担，给甲方及他人造成损失的，乙方承担一切赔偿责任。</w:t>
      </w:r>
    </w:p>
    <w:p w14:paraId="4DF94FC9">
      <w:pPr>
        <w:spacing w:line="400" w:lineRule="exact"/>
        <w:ind w:firstLine="420" w:firstLineChars="200"/>
        <w:rPr>
          <w:rFonts w:ascii="宋体" w:hAnsi="宋体" w:eastAsia="宋体" w:cs="宋体"/>
          <w:color w:val="000000" w:themeColor="text1"/>
          <w:szCs w:val="21"/>
          <w14:textFill>
            <w14:solidFill>
              <w14:schemeClr w14:val="tx1"/>
            </w14:solidFill>
          </w14:textFill>
        </w:rPr>
      </w:pPr>
    </w:p>
    <w:p w14:paraId="7E386D69">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17、保险</w:t>
      </w:r>
    </w:p>
    <w:p w14:paraId="13942D8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17.1 甲方所投保之保险将仅限于以该商铺、机器设备及附属设施之本身为投保标的，并以甲方为受益人。如发生保险事故，有关保险公司在该等保险单证项下所作之赔偿均归甲方全部所有。甲方还应投保与其经营范围相关的公众责任险。</w:t>
      </w:r>
    </w:p>
    <w:p w14:paraId="6F4C8614">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17.2 乙方必须自费为该商铺在装修期间可能遇到的风险购买保险，该等保险的险种至少应包括建筑或安装工程一切险及第三者责任保险和建筑工程施工人员团体人身意外伤害保险，并使之在装修期内持续有效；乙方投保的建筑或安装工程一切险及第三者责任保险须将甲方及管理公司（如有）列为被保险人之一，物质损失保险金额应根据装修合同工程造价确定。乙方投保的建筑工程施工人员团体意外伤害保险的每人保障额度，不低于当地工伤损害赔偿的标准；同时，应确保高空作业属于保单责任范围。因乙方或乙方装修单位原因造成的财产损失、对第三者的赔偿责任、乙方或乙方装修单位所属或所雇佣人员的伤害，甲方不承担任何责任。</w:t>
      </w:r>
    </w:p>
    <w:p w14:paraId="0959D2D7">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17.3 乙方应当于正式使用该商铺前自费为该商铺营业期可能遇到的风险购买保险，该等保险包括但不限于财产一切险（附加盗窃险）、公众责任险、食品安全责任险（餐饮类租户）等，保险的赔偿范围应包括个人伤害责任、人身伤害责任、人群所蒙受的伤害及损失责任，该等保险的责任期间从乙方正式使用该商铺之日起至本合同所述的租期届满之日止。其中，财产一切险保险金额应包括：装修装饰、机器设备、存货、营业用家具、其他。</w:t>
      </w:r>
    </w:p>
    <w:p w14:paraId="4CF2AEEB">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17.4 遇发生意外时，若因乙方未购买前述保险或投保金额不足以弥补所产生的一切损失（包括前述保险单赔偿范围内的损失），后果及责任均由乙方承担。</w:t>
      </w:r>
    </w:p>
    <w:p w14:paraId="706716F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17.5 乙方应于进场前/该商铺开业前/每年保险到期前15日内向甲方提供前述保险手续的复印件，并提供原件供甲方核查。否则甲方有权禁止乙方开业，并有权依然要求乙方根据本合同约定支付所有应付费用并承担本合同约定的相应违约责任。乙方在向甲方承担相应违约责任后仍应按本合同约定为该商铺购买相应保险。</w:t>
      </w:r>
    </w:p>
    <w:p w14:paraId="7795BE8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17.6 乙方不得进行或允许、默许他人进行任何可能导致该商铺的保险失效，或使保险费增加的活动。如因乙方违反上述规定致使甲方增付保险费或发生其他开支或损失，乙方须及时补偿甲方因此所遭受或可能遭受的所有损失、损害及开支。</w:t>
      </w:r>
    </w:p>
    <w:p w14:paraId="02D2199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17.7 如因乙方原因，发生涉及甲方损失的保险事故，乙方从保险公司获得的赔款应当首先用于赔偿甲方的损失；如乙方从保险公司获得的赔款不足以赔偿甲方的损失，则差额部分由乙方赔偿予甲方。</w:t>
      </w:r>
    </w:p>
    <w:p w14:paraId="7CFE7F7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17.8 除以上外，乙方同意遵守《商户手册》及其他附件中保险的相关约定。</w:t>
      </w:r>
    </w:p>
    <w:p w14:paraId="7CAA016C">
      <w:pPr>
        <w:spacing w:line="400" w:lineRule="exact"/>
        <w:rPr>
          <w:rFonts w:ascii="宋体" w:hAnsi="宋体" w:eastAsia="宋体" w:cs="宋体"/>
          <w:color w:val="000000" w:themeColor="text1"/>
          <w:szCs w:val="21"/>
          <w14:textFill>
            <w14:solidFill>
              <w14:schemeClr w14:val="tx1"/>
            </w14:solidFill>
          </w14:textFill>
        </w:rPr>
      </w:pPr>
    </w:p>
    <w:p w14:paraId="1C00C2B8">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18、权利的放弃、部分有效和非排他性补救</w:t>
      </w:r>
    </w:p>
    <w:p w14:paraId="2C53094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18.1 甲方了解到乙方违约而又接受租金时，不能视为甲方放弃追究乙方违约责任的权利。乙方交付的租金或其他款项不足本合同之规定金额时，或甲方接受金额不足的租金或其他款项，均不能视为甲方同意乙方少付租金或其他款项，也不影响甲方追索欠租欠款的权利以及根据本合同及法律规定的其他权利。此外，甲方未能或延迟行使本合同项下的任何权利将不意味放弃该等权利。甲方的任何权利的放弃均以甲方签署的书面明确表示为准。</w:t>
      </w:r>
    </w:p>
    <w:p w14:paraId="2651E04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18.2 如本合同的任何规定在任何方面成为无效或不合法，应不影响本合同其他条款的合法有效性。</w:t>
      </w:r>
    </w:p>
    <w:p w14:paraId="0BFB215B">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18.3 本合同规定的甲方和乙方各自的权利和补救措施，不应排除或替代各方根据法律所应有的权利和补救措施。当一方违约，另一方可行使或采取根据本合同或法律所应有的所有权利和补救措施，直至其损失得到足够的赔偿。</w:t>
      </w:r>
    </w:p>
    <w:p w14:paraId="2ABA674F">
      <w:pPr>
        <w:spacing w:line="400" w:lineRule="exact"/>
        <w:rPr>
          <w:rFonts w:ascii="宋体" w:hAnsi="宋体" w:eastAsia="宋体" w:cs="宋体"/>
          <w:color w:val="000000" w:themeColor="text1"/>
          <w:szCs w:val="21"/>
          <w14:textFill>
            <w14:solidFill>
              <w14:schemeClr w14:val="tx1"/>
            </w14:solidFill>
          </w14:textFill>
        </w:rPr>
      </w:pPr>
    </w:p>
    <w:p w14:paraId="6C49CD0A">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19、通知</w:t>
      </w:r>
    </w:p>
    <w:p w14:paraId="024FA95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19.1 乙方认可甲方发出的包括但不限于书面通知、数据电文通知（含电子邮件、互联网平台通知），即甲方通过商户服务平台上乙方账户发送电子函件通知、向本合同约定联系方式进行邮件通知、短信通知、书面通知等。乙方认可通知函件采用电子签章，以电子签章的方式对通知函件盖章的，通知函件自加盖电子签章并发出之时起生效。</w:t>
      </w:r>
    </w:p>
    <w:p w14:paraId="1535A82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19.2 对于任何通知，如直接交付予对方或其授权的负责人，在交付时视为收讫，乙方应当进行书面签收；如用快递或挂号信，在对方签收或寄出3天后视为收讫。如以电子邮件、互联网平台即向商户服务平台上账户发送通知的，发出时间视为到达时间。通知收件地址详见第 30条的联系方式。如甲方通过前述方式无法通知到乙方，则甲方可以将通知留置在该商铺处，该通知在留置后的下一个工作日视为收讫。在前述方式均不可送达时，可采用公告送达的方式，送达方可在当地发行的报刊上刊登公告，公告的当日即视为送达。</w:t>
      </w:r>
    </w:p>
    <w:p w14:paraId="449095D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19.3 联系方式以本合同第30条的约定为准。任何一方如变更本合同约定的联系方式的，应于变更之日起3个工作日内通知另一方，否则，变更一方应自行承担因未及时通知而造成的不利后果并承担因此给另一方造成的损失。</w:t>
      </w:r>
    </w:p>
    <w:p w14:paraId="733C1154">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19.4 乙方确认，甲方及管理公司制定及不时修改的各类管理规定及通知，经甲方/管理公司公示于其在</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的办公场所后，即视为送达乙方。</w:t>
      </w:r>
    </w:p>
    <w:p w14:paraId="424AAE5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19.5 除上述通知方式外，甲方采取的任何其他符合法律规定的通知和送达方式，均可视为有效通知和送达。</w:t>
      </w:r>
    </w:p>
    <w:p w14:paraId="2FBB263A">
      <w:pPr>
        <w:spacing w:line="400" w:lineRule="exact"/>
        <w:rPr>
          <w:rFonts w:ascii="宋体" w:hAnsi="宋体" w:eastAsia="宋体" w:cs="宋体"/>
          <w:color w:val="000000" w:themeColor="text1"/>
          <w:szCs w:val="21"/>
          <w14:textFill>
            <w14:solidFill>
              <w14:schemeClr w14:val="tx1"/>
            </w14:solidFill>
          </w14:textFill>
        </w:rPr>
      </w:pPr>
    </w:p>
    <w:p w14:paraId="55AB130E">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20、不可抗力</w:t>
      </w:r>
    </w:p>
    <w:p w14:paraId="2AEDCF6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如本合同的任何一方因不可预见、无法控制、非因其过错或疏忽所致的不可抗力事件而无法履行其在本合同项下的义务，则该方应立即将该不可抗力事件书面通知另一方。在不可抗力事件存续期间，无法履行义务的一方可暂时不履行其义务，也无须对另一方由此引起的任何损失、不便、麻烦或不适进行赔偿，但应尽力减少因不可抗力引起的损失。任何相关的期限应根据该事件所影响的期限相应顺延。不可抗力事件消失时，无法履行义务的一方应继续履行其义务。如不可抗力情形存续超过180天，任何一方均有权解除合同。“不可抗力”应被定义为：任何不能预见、不能避免、不能克服的事件，包括洪水、台风、地震、战争或军事行动、内乱或民众动乱、恐怖主义行动、火灾、爆炸、罢工（甲、乙双方内部员工的罢工除外）等情况及类似的天灾。</w:t>
      </w:r>
    </w:p>
    <w:p w14:paraId="44CAC361">
      <w:pPr>
        <w:spacing w:line="400" w:lineRule="exact"/>
        <w:rPr>
          <w:rFonts w:ascii="宋体" w:hAnsi="宋体" w:eastAsia="宋体" w:cs="宋体"/>
          <w:color w:val="000000" w:themeColor="text1"/>
          <w:szCs w:val="21"/>
          <w14:textFill>
            <w14:solidFill>
              <w14:schemeClr w14:val="tx1"/>
            </w14:solidFill>
          </w14:textFill>
        </w:rPr>
      </w:pPr>
    </w:p>
    <w:p w14:paraId="103E0C8F">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21、保密</w:t>
      </w:r>
    </w:p>
    <w:p w14:paraId="0AD52AB4">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21.1 甲乙双方互相保证本合同相关机密未经对方同意不得向第三者泄露。</w:t>
      </w:r>
    </w:p>
    <w:p w14:paraId="3F14B2A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21.2 未经对方同意，任何一方均不得向任何其他人士泄漏本合同或甲乙双方为本合同的目的而商议、签署的任何文件（若有）中所载的全部或部分内容，但各方为讨论、制作、签署、履行及执行本合同而向其雇员、代理人、顾问等提供资料，或该等资料已由其他途径成为公开资料或法律规定必须予以披露的除外。</w:t>
      </w:r>
    </w:p>
    <w:p w14:paraId="4610F4FF">
      <w:pPr>
        <w:spacing w:line="400" w:lineRule="exact"/>
        <w:rPr>
          <w:rFonts w:ascii="宋体" w:hAnsi="宋体" w:eastAsia="宋体" w:cs="宋体"/>
          <w:color w:val="000000" w:themeColor="text1"/>
          <w:szCs w:val="21"/>
          <w14:textFill>
            <w14:solidFill>
              <w14:schemeClr w14:val="tx1"/>
            </w14:solidFill>
          </w14:textFill>
        </w:rPr>
      </w:pPr>
    </w:p>
    <w:p w14:paraId="18E1C711">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22、综合管理服务分包</w:t>
      </w:r>
    </w:p>
    <w:p w14:paraId="3D6C9E6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甲方可将其在本合同下的任何专项管理委托或分包给专业的管理商（简称“分包商”）。</w:t>
      </w:r>
    </w:p>
    <w:p w14:paraId="5C3CAC54">
      <w:pPr>
        <w:spacing w:line="400" w:lineRule="exact"/>
        <w:rPr>
          <w:rFonts w:ascii="宋体" w:hAnsi="宋体" w:eastAsia="宋体" w:cs="宋体"/>
          <w:color w:val="000000" w:themeColor="text1"/>
          <w:szCs w:val="21"/>
          <w14:textFill>
            <w14:solidFill>
              <w14:schemeClr w14:val="tx1"/>
            </w14:solidFill>
          </w14:textFill>
        </w:rPr>
      </w:pPr>
    </w:p>
    <w:p w14:paraId="6E05CB6D">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23、其他条款</w:t>
      </w:r>
    </w:p>
    <w:p w14:paraId="3B6F17B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23.1 本合同的附件是本合同的必要组成部分，与本合同正文具有同等法律效力。双方确认，在签署本合同时，并没有依赖对方在本合同签署前做出的任何声明、保证或其他承诺（本合同另有约定除外）。本合同（含附件）及补充协议（如有）构成甲乙双方关于租赁该商铺的全部约定，取代双方关于该商铺的一切口头、书面沟通或先前达成的所有协议。</w:t>
      </w:r>
    </w:p>
    <w:p w14:paraId="6B3ADF3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23.2 本合同以简体中文书写，合同中的标题仅为参考方便而设，在解释本合同时并无效力。</w:t>
      </w:r>
    </w:p>
    <w:p w14:paraId="7560B18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23.3 本合同的任何变更或补充须以书面方式进行。</w:t>
      </w:r>
    </w:p>
    <w:p w14:paraId="5232A57E">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23.4 本合同条款业经双方充分协商和谈判而达成，不构成任何一方的格式条款。</w:t>
      </w:r>
    </w:p>
    <w:p w14:paraId="33641FA7">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23.5 不论任何原因，有关该商铺的租赁登记或备案的内容与本合同规定不一致的，以本合同为准。</w:t>
      </w:r>
    </w:p>
    <w:p w14:paraId="3A26D06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23.6 本合同受中国法律管辖和解释。与本合同有关的争议，双方应先通过友好协商解决。协商解决不成的，双方同意将其提交该商铺所在地人民法院诉讼解决。</w:t>
      </w:r>
    </w:p>
    <w:p w14:paraId="11DFDF2D">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br w:type="page"/>
      </w:r>
    </w:p>
    <w:p w14:paraId="4B9CF62A">
      <w:pPr>
        <w:spacing w:line="400" w:lineRule="exact"/>
        <w:jc w:val="center"/>
        <w:rPr>
          <w:rFonts w:ascii="宋体" w:hAnsi="宋体" w:eastAsia="宋体" w:cs="宋体"/>
          <w:color w:val="000000" w:themeColor="text1"/>
          <w:szCs w:val="21"/>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第二部分</w:t>
      </w: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ab/>
      </w: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专用条款</w:t>
      </w:r>
    </w:p>
    <w:p w14:paraId="02484560">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24、商铺位置及面积</w:t>
      </w:r>
    </w:p>
    <w:p w14:paraId="11FBC49B">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24.1 甲方</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坐落于浙江省金华市金东区多湖街道栖凤街以西，丹溪路以北，由甲方自主决定名称为多湖里（“多湖里”为甲方所持有的注册商标）。若甲方决定变更</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名称，甲方无须就此承担任何责任。</w:t>
      </w:r>
    </w:p>
    <w:p w14:paraId="7788AD3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24.2 乙方承租的商铺位于</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的</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b/>
          <w:bCs/>
          <w:color w:val="000000" w:themeColor="text1"/>
          <w:szCs w:val="21"/>
          <w:u w:val="single"/>
          <w14:textFill>
            <w14:solidFill>
              <w14:schemeClr w14:val="tx1"/>
            </w14:solidFill>
          </w14:textFill>
        </w:rPr>
        <w:t xml:space="preserve">     （塔楼/裙房）第      层第      号</w:t>
      </w:r>
      <w:r>
        <w:rPr>
          <w:rFonts w:hint="eastAsia" w:ascii="宋体" w:hAnsi="宋体" w:eastAsia="宋体" w:cs="宋体"/>
          <w:color w:val="000000" w:themeColor="text1"/>
          <w:szCs w:val="21"/>
          <w14:textFill>
            <w14:solidFill>
              <w14:schemeClr w14:val="tx1"/>
            </w14:solidFill>
          </w14:textFill>
        </w:rPr>
        <w:t>。签订本合同前，甲方已告知乙方该商铺设定抵押。</w:t>
      </w:r>
    </w:p>
    <w:p w14:paraId="3C64B58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24.3 该商铺套内建筑面积约为</w:t>
      </w:r>
      <w:r>
        <w:rPr>
          <w:rFonts w:hint="eastAsia" w:ascii="宋体" w:hAnsi="宋体" w:eastAsia="宋体" w:cs="宋体"/>
          <w:b/>
          <w:bCs/>
          <w:color w:val="000000" w:themeColor="text1"/>
          <w:szCs w:val="21"/>
          <w:u w:val="single"/>
          <w14:textFill>
            <w14:solidFill>
              <w14:schemeClr w14:val="tx1"/>
            </w14:solidFill>
          </w14:textFill>
        </w:rPr>
        <w:t xml:space="preserve">   xx   </w:t>
      </w:r>
      <w:r>
        <w:rPr>
          <w:rFonts w:hint="eastAsia" w:ascii="宋体" w:hAnsi="宋体" w:eastAsia="宋体" w:cs="宋体"/>
          <w:b/>
          <w:bCs/>
          <w:color w:val="000000" w:themeColor="text1"/>
          <w:szCs w:val="21"/>
          <w14:textFill>
            <w14:solidFill>
              <w14:schemeClr w14:val="tx1"/>
            </w14:solidFill>
          </w14:textFill>
        </w:rPr>
        <w:t>平方米</w:t>
      </w:r>
      <w:r>
        <w:rPr>
          <w:rFonts w:hint="eastAsia" w:ascii="宋体" w:hAnsi="宋体" w:eastAsia="宋体" w:cs="宋体"/>
          <w:color w:val="000000" w:themeColor="text1"/>
          <w:szCs w:val="21"/>
          <w14:textFill>
            <w14:solidFill>
              <w14:schemeClr w14:val="tx1"/>
            </w14:solidFill>
          </w14:textFill>
        </w:rPr>
        <w:t>。</w:t>
      </w:r>
    </w:p>
    <w:p w14:paraId="0612F7B9">
      <w:pPr>
        <w:spacing w:line="400" w:lineRule="exact"/>
        <w:rPr>
          <w:rFonts w:ascii="宋体" w:hAnsi="宋体" w:eastAsia="宋体" w:cs="宋体"/>
          <w:color w:val="000000" w:themeColor="text1"/>
          <w:szCs w:val="21"/>
          <w14:textFill>
            <w14:solidFill>
              <w14:schemeClr w14:val="tx1"/>
            </w14:solidFill>
          </w14:textFill>
        </w:rPr>
      </w:pPr>
    </w:p>
    <w:p w14:paraId="1F3790D9">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25、租赁用途</w:t>
      </w:r>
    </w:p>
    <w:p w14:paraId="6AF60F99">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乙方向甲方承诺，租赁该商铺仅用于经营</w:t>
      </w:r>
      <w:r>
        <w:rPr>
          <w:rFonts w:hint="eastAsia" w:ascii="宋体" w:hAnsi="宋体" w:eastAsia="宋体" w:cs="宋体"/>
          <w:b/>
          <w:bCs/>
          <w:color w:val="000000" w:themeColor="text1"/>
          <w:szCs w:val="21"/>
          <w:u w:val="single"/>
          <w14:textFill>
            <w14:solidFill>
              <w14:schemeClr w14:val="tx1"/>
            </w14:solidFill>
          </w14:textFill>
        </w:rPr>
        <w:t xml:space="preserve">  xx  品牌   xx  业态  xx  品类</w:t>
      </w:r>
      <w:r>
        <w:rPr>
          <w:rFonts w:hint="eastAsia" w:ascii="宋体" w:hAnsi="宋体" w:eastAsia="宋体" w:cs="宋体"/>
          <w:color w:val="000000" w:themeColor="text1"/>
          <w:szCs w:val="21"/>
          <w14:textFill>
            <w14:solidFill>
              <w14:schemeClr w14:val="tx1"/>
            </w14:solidFill>
          </w14:textFill>
        </w:rPr>
        <w:t>。乙方并承诺遵守国家和当地有关房屋使用和管理的规定。</w:t>
      </w:r>
    </w:p>
    <w:p w14:paraId="14FBB328">
      <w:pPr>
        <w:spacing w:line="400" w:lineRule="exact"/>
        <w:rPr>
          <w:rFonts w:ascii="宋体" w:hAnsi="宋体" w:eastAsia="宋体" w:cs="宋体"/>
          <w:color w:val="000000" w:themeColor="text1"/>
          <w:szCs w:val="21"/>
          <w14:textFill>
            <w14:solidFill>
              <w14:schemeClr w14:val="tx1"/>
            </w14:solidFill>
          </w14:textFill>
        </w:rPr>
      </w:pPr>
    </w:p>
    <w:p w14:paraId="69B400FC">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26、商铺交付和租赁期限</w:t>
      </w:r>
    </w:p>
    <w:p w14:paraId="460A92EB">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26.1 交付日为</w:t>
      </w:r>
      <w:r>
        <w:rPr>
          <w:rFonts w:hint="eastAsia" w:ascii="宋体" w:hAnsi="宋体" w:eastAsia="宋体" w:cs="宋体"/>
          <w:b/>
          <w:bCs/>
          <w:color w:val="000000" w:themeColor="text1"/>
          <w:szCs w:val="21"/>
          <w:u w:val="single"/>
          <w14:textFill>
            <w14:solidFill>
              <w14:schemeClr w14:val="tx1"/>
            </w14:solidFill>
          </w14:textFill>
        </w:rPr>
        <w:t xml:space="preserve">  xx  年  xx  月  xx   日</w:t>
      </w:r>
      <w:r>
        <w:rPr>
          <w:rFonts w:hint="eastAsia" w:ascii="宋体" w:hAnsi="宋体" w:eastAsia="宋体" w:cs="宋体"/>
          <w:color w:val="000000" w:themeColor="text1"/>
          <w:szCs w:val="21"/>
          <w14:textFill>
            <w14:solidFill>
              <w14:schemeClr w14:val="tx1"/>
            </w14:solidFill>
          </w14:textFill>
        </w:rPr>
        <w:t>（约定交付日），交付宽限期为约定交付日起    天。</w:t>
      </w:r>
    </w:p>
    <w:p w14:paraId="0687E85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26.2 该商铺的租赁期为</w:t>
      </w:r>
      <w:r>
        <w:rPr>
          <w:rFonts w:hint="eastAsia" w:ascii="宋体" w:hAnsi="宋体" w:eastAsia="宋体" w:cs="宋体"/>
          <w:b/>
          <w:bCs/>
          <w:color w:val="000000" w:themeColor="text1"/>
          <w:szCs w:val="21"/>
          <w:u w:val="single"/>
          <w14:textFill>
            <w14:solidFill>
              <w14:schemeClr w14:val="tx1"/>
            </w14:solidFill>
          </w14:textFill>
        </w:rPr>
        <w:t>自   xx  年  xx  月  xx  日至  xx  年  xx  月  xx  日</w:t>
      </w:r>
      <w:r>
        <w:rPr>
          <w:rFonts w:hint="eastAsia" w:ascii="宋体" w:hAnsi="宋体" w:eastAsia="宋体" w:cs="宋体"/>
          <w:color w:val="000000" w:themeColor="text1"/>
          <w:szCs w:val="21"/>
          <w14:textFill>
            <w14:solidFill>
              <w14:schemeClr w14:val="tx1"/>
            </w14:solidFill>
          </w14:textFill>
        </w:rPr>
        <w:t>。</w:t>
      </w:r>
    </w:p>
    <w:p w14:paraId="126DA668">
      <w:pPr>
        <w:spacing w:line="400" w:lineRule="exact"/>
        <w:rPr>
          <w:rFonts w:ascii="宋体" w:hAnsi="宋体" w:eastAsia="宋体" w:cs="宋体"/>
          <w:color w:val="000000" w:themeColor="text1"/>
          <w:szCs w:val="21"/>
          <w14:textFill>
            <w14:solidFill>
              <w14:schemeClr w14:val="tx1"/>
            </w14:solidFill>
          </w14:textFill>
        </w:rPr>
      </w:pPr>
    </w:p>
    <w:p w14:paraId="622B2F92">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27、装修期及费用</w:t>
      </w:r>
    </w:p>
    <w:p w14:paraId="1A0CB1A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27.1 装修期</w:t>
      </w:r>
      <w:r>
        <w:rPr>
          <w:rFonts w:hint="eastAsia" w:ascii="宋体" w:hAnsi="宋体" w:eastAsia="宋体" w:cs="宋体"/>
          <w:b/>
          <w:bCs/>
          <w:color w:val="000000" w:themeColor="text1"/>
          <w:szCs w:val="21"/>
          <w:u w:val="single"/>
          <w14:textFill>
            <w14:solidFill>
              <w14:schemeClr w14:val="tx1"/>
            </w14:solidFill>
          </w14:textFill>
        </w:rPr>
        <w:t xml:space="preserve">   xx   天</w:t>
      </w:r>
      <w:r>
        <w:rPr>
          <w:rFonts w:hint="eastAsia" w:ascii="宋体" w:hAnsi="宋体" w:eastAsia="宋体" w:cs="宋体"/>
          <w:b/>
          <w:bCs/>
          <w:color w:val="000000" w:themeColor="text1"/>
          <w:szCs w:val="21"/>
          <w14:textFill>
            <w14:solidFill>
              <w14:schemeClr w14:val="tx1"/>
            </w14:solidFill>
          </w14:textFill>
        </w:rPr>
        <w:t>，</w:t>
      </w:r>
      <w:r>
        <w:rPr>
          <w:rFonts w:hint="eastAsia" w:ascii="宋体" w:hAnsi="宋体" w:eastAsia="宋体" w:cs="宋体"/>
          <w:b/>
          <w:bCs/>
          <w:color w:val="000000" w:themeColor="text1"/>
          <w:szCs w:val="21"/>
          <w:u w:val="single"/>
          <w14:textFill>
            <w14:solidFill>
              <w14:schemeClr w14:val="tx1"/>
            </w14:solidFill>
          </w14:textFill>
        </w:rPr>
        <w:t>自  xx  年  xx  月  xx  日至  xx  年   xx  月   xx  日</w:t>
      </w:r>
      <w:r>
        <w:rPr>
          <w:rFonts w:hint="eastAsia" w:ascii="宋体" w:hAnsi="宋体" w:eastAsia="宋体" w:cs="宋体"/>
          <w:color w:val="000000" w:themeColor="text1"/>
          <w:szCs w:val="21"/>
          <w14:textFill>
            <w14:solidFill>
              <w14:schemeClr w14:val="tx1"/>
            </w14:solidFill>
          </w14:textFill>
        </w:rPr>
        <w:t>。</w:t>
      </w:r>
    </w:p>
    <w:p w14:paraId="17BD66C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27.2 乙方应于商铺交付日</w:t>
      </w:r>
      <w:r>
        <w:rPr>
          <w:rFonts w:hint="eastAsia" w:ascii="宋体" w:hAnsi="宋体" w:eastAsia="宋体" w:cs="宋体"/>
          <w:b/>
          <w:bCs/>
          <w:color w:val="000000" w:themeColor="text1"/>
          <w:szCs w:val="21"/>
          <w:u w:val="single"/>
          <w14:textFill>
            <w14:solidFill>
              <w14:schemeClr w14:val="tx1"/>
            </w14:solidFill>
          </w14:textFill>
        </w:rPr>
        <w:t>即  xx  年  xx  月  xx  日</w:t>
      </w:r>
      <w:r>
        <w:rPr>
          <w:rFonts w:hint="eastAsia" w:ascii="宋体" w:hAnsi="宋体" w:eastAsia="宋体" w:cs="宋体"/>
          <w:color w:val="000000" w:themeColor="text1"/>
          <w:szCs w:val="21"/>
          <w14:textFill>
            <w14:solidFill>
              <w14:schemeClr w14:val="tx1"/>
            </w14:solidFill>
          </w14:textFill>
        </w:rPr>
        <w:t>前按如下标准向甲方支付装修期租金、押金和装修期管理费。装修期租金标准</w:t>
      </w:r>
      <w:r>
        <w:rPr>
          <w:rFonts w:hint="eastAsia" w:ascii="宋体" w:hAnsi="宋体" w:eastAsia="宋体" w:cs="宋体"/>
          <w:b/>
          <w:bCs/>
          <w:color w:val="000000" w:themeColor="text1"/>
          <w:szCs w:val="21"/>
          <w14:textFill>
            <w14:solidFill>
              <w14:schemeClr w14:val="tx1"/>
            </w14:solidFill>
          </w14:textFill>
        </w:rPr>
        <w:t>：</w:t>
      </w:r>
      <w:r>
        <w:rPr>
          <w:rFonts w:hint="eastAsia" w:ascii="宋体" w:hAnsi="宋体" w:eastAsia="宋体" w:cs="宋体"/>
          <w:b/>
          <w:bCs/>
          <w:color w:val="000000" w:themeColor="text1"/>
          <w:szCs w:val="21"/>
          <w:u w:val="single"/>
          <w14:textFill>
            <w14:solidFill>
              <w14:schemeClr w14:val="tx1"/>
            </w14:solidFill>
          </w14:textFill>
        </w:rPr>
        <w:t xml:space="preserve">  xx  元/月</w:t>
      </w:r>
      <w:r>
        <w:rPr>
          <w:rFonts w:hint="eastAsia" w:ascii="宋体" w:hAnsi="宋体" w:eastAsia="宋体" w:cs="宋体"/>
          <w:color w:val="000000" w:themeColor="text1"/>
          <w:szCs w:val="21"/>
          <w14:textFill>
            <w14:solidFill>
              <w14:schemeClr w14:val="tx1"/>
            </w14:solidFill>
          </w14:textFill>
        </w:rPr>
        <w:t>，装修押金</w:t>
      </w:r>
      <w:r>
        <w:rPr>
          <w:rFonts w:hint="eastAsia" w:ascii="宋体" w:hAnsi="宋体" w:eastAsia="宋体" w:cs="宋体"/>
          <w:b/>
          <w:bCs/>
          <w:color w:val="000000" w:themeColor="text1"/>
          <w:szCs w:val="21"/>
          <w:u w:val="single"/>
          <w14:textFill>
            <w14:solidFill>
              <w14:schemeClr w14:val="tx1"/>
            </w14:solidFill>
          </w14:textFill>
        </w:rPr>
        <w:t xml:space="preserve">   xx   元</w:t>
      </w:r>
      <w:r>
        <w:rPr>
          <w:rFonts w:hint="eastAsia" w:ascii="宋体" w:hAnsi="宋体" w:eastAsia="宋体" w:cs="宋体"/>
          <w:color w:val="000000" w:themeColor="text1"/>
          <w:szCs w:val="21"/>
          <w14:textFill>
            <w14:solidFill>
              <w14:schemeClr w14:val="tx1"/>
            </w14:solidFill>
          </w14:textFill>
        </w:rPr>
        <w:t>，装修期管理费</w:t>
      </w:r>
      <w:r>
        <w:rPr>
          <w:rFonts w:hint="eastAsia" w:ascii="宋体" w:hAnsi="宋体" w:eastAsia="宋体" w:cs="宋体"/>
          <w:b/>
          <w:bCs/>
          <w:color w:val="000000" w:themeColor="text1"/>
          <w:szCs w:val="21"/>
          <w:u w:val="single"/>
          <w14:textFill>
            <w14:solidFill>
              <w14:schemeClr w14:val="tx1"/>
            </w14:solidFill>
          </w14:textFill>
        </w:rPr>
        <w:t xml:space="preserve">   xx      元</w:t>
      </w:r>
      <w:r>
        <w:rPr>
          <w:rFonts w:hint="eastAsia" w:ascii="宋体" w:hAnsi="宋体" w:eastAsia="宋体" w:cs="宋体"/>
          <w:color w:val="000000" w:themeColor="text1"/>
          <w:szCs w:val="21"/>
          <w14:textFill>
            <w14:solidFill>
              <w14:schemeClr w14:val="tx1"/>
            </w14:solidFill>
          </w14:textFill>
        </w:rPr>
        <w:t>。</w:t>
      </w:r>
    </w:p>
    <w:p w14:paraId="20E45D53">
      <w:pPr>
        <w:spacing w:line="400" w:lineRule="exact"/>
        <w:rPr>
          <w:rFonts w:ascii="宋体" w:hAnsi="宋体" w:eastAsia="宋体" w:cs="宋体"/>
          <w:color w:val="000000" w:themeColor="text1"/>
          <w:szCs w:val="21"/>
          <w14:textFill>
            <w14:solidFill>
              <w14:schemeClr w14:val="tx1"/>
            </w14:solidFill>
          </w14:textFill>
        </w:rPr>
      </w:pPr>
    </w:p>
    <w:p w14:paraId="2D79CD58">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28、营业期租金、物管费、广告费等费用及营业额</w:t>
      </w:r>
    </w:p>
    <w:p w14:paraId="10E3DDA2">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28.1 自营业期开始，乙方按</w:t>
      </w:r>
      <w:r>
        <w:rPr>
          <w:rFonts w:hint="eastAsia" w:ascii="宋体" w:hAnsi="宋体" w:eastAsia="宋体" w:cs="宋体"/>
          <w:b/>
          <w:bCs/>
          <w:color w:val="000000" w:themeColor="text1"/>
          <w:szCs w:val="21"/>
          <w:u w:val="single"/>
          <w14:textFill>
            <w14:solidFill>
              <w14:schemeClr w14:val="tx1"/>
            </w14:solidFill>
          </w14:textFill>
        </w:rPr>
        <w:t xml:space="preserve">  xx  个月</w:t>
      </w:r>
      <w:r>
        <w:rPr>
          <w:rFonts w:hint="eastAsia" w:ascii="宋体" w:hAnsi="宋体" w:eastAsia="宋体" w:cs="宋体"/>
          <w:color w:val="000000" w:themeColor="text1"/>
          <w:szCs w:val="21"/>
          <w14:textFill>
            <w14:solidFill>
              <w14:schemeClr w14:val="tx1"/>
            </w14:solidFill>
          </w14:textFill>
        </w:rPr>
        <w:t>为一个支付周期向甲方支付固定租金，以</w:t>
      </w:r>
      <w:r>
        <w:rPr>
          <w:rFonts w:hint="eastAsia" w:ascii="宋体" w:hAnsi="宋体" w:eastAsia="宋体" w:cs="宋体"/>
          <w:b/>
          <w:bCs/>
          <w:color w:val="000000" w:themeColor="text1"/>
          <w:szCs w:val="21"/>
          <w:u w:val="single"/>
          <w14:textFill>
            <w14:solidFill>
              <w14:schemeClr w14:val="tx1"/>
            </w14:solidFill>
          </w14:textFill>
        </w:rPr>
        <w:t xml:space="preserve"> xx  个月</w:t>
      </w:r>
      <w:r>
        <w:rPr>
          <w:rFonts w:hint="eastAsia" w:ascii="宋体" w:hAnsi="宋体" w:eastAsia="宋体" w:cs="宋体"/>
          <w:color w:val="000000" w:themeColor="text1"/>
          <w:szCs w:val="21"/>
          <w14:textFill>
            <w14:solidFill>
              <w14:schemeClr w14:val="tx1"/>
            </w14:solidFill>
          </w14:textFill>
        </w:rPr>
        <w:t>为一个支付周期支付提成租金。首期固定租金不晚于</w:t>
      </w:r>
      <w:r>
        <w:rPr>
          <w:rFonts w:hint="eastAsia" w:ascii="宋体" w:hAnsi="宋体" w:eastAsia="宋体" w:cs="宋体"/>
          <w:b/>
          <w:bCs/>
          <w:color w:val="000000" w:themeColor="text1"/>
          <w:szCs w:val="21"/>
          <w:u w:val="single"/>
          <w14:textFill>
            <w14:solidFill>
              <w14:schemeClr w14:val="tx1"/>
            </w14:solidFill>
          </w14:textFill>
        </w:rPr>
        <w:t xml:space="preserve">  xx  年  xx  月  xx  日</w:t>
      </w:r>
      <w:r>
        <w:rPr>
          <w:rFonts w:hint="eastAsia" w:ascii="宋体" w:hAnsi="宋体" w:eastAsia="宋体" w:cs="宋体"/>
          <w:color w:val="000000" w:themeColor="text1"/>
          <w:szCs w:val="21"/>
          <w14:textFill>
            <w14:solidFill>
              <w14:schemeClr w14:val="tx1"/>
            </w14:solidFill>
          </w14:textFill>
        </w:rPr>
        <w:t>缴纳。</w:t>
      </w:r>
    </w:p>
    <w:p w14:paraId="63CB787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28.1.1 乙方同意租金按照下述</w:t>
      </w:r>
      <w:r>
        <w:rPr>
          <w:rFonts w:hint="eastAsia" w:ascii="宋体" w:hAnsi="宋体" w:eastAsia="宋体" w:cs="宋体"/>
          <w:b/>
          <w:bCs/>
          <w:color w:val="000000" w:themeColor="text1"/>
          <w:szCs w:val="21"/>
          <w:u w:val="single"/>
          <w14:textFill>
            <w14:solidFill>
              <w14:schemeClr w14:val="tx1"/>
            </w14:solidFill>
          </w14:textFill>
        </w:rPr>
        <w:t>第   xx   种</w:t>
      </w:r>
      <w:r>
        <w:rPr>
          <w:rFonts w:hint="eastAsia" w:ascii="宋体" w:hAnsi="宋体" w:eastAsia="宋体" w:cs="宋体"/>
          <w:color w:val="000000" w:themeColor="text1"/>
          <w:szCs w:val="21"/>
          <w14:textFill>
            <w14:solidFill>
              <w14:schemeClr w14:val="tx1"/>
            </w14:solidFill>
          </w14:textFill>
        </w:rPr>
        <w:t>方式计付。</w:t>
      </w:r>
    </w:p>
    <w:p w14:paraId="7AB02667">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①支付固定租金，乙方应于本合同签署时向甲方支付首个支付周期固定租金，其后乙方应于当期最后一个月</w:t>
      </w:r>
      <w:r>
        <w:rPr>
          <w:rFonts w:hint="eastAsia" w:ascii="宋体" w:hAnsi="宋体" w:eastAsia="宋体" w:cs="宋体"/>
          <w:b/>
          <w:bCs/>
          <w:color w:val="000000" w:themeColor="text1"/>
          <w:szCs w:val="21"/>
          <w:u w:val="single"/>
          <w14:textFill>
            <w14:solidFill>
              <w14:schemeClr w14:val="tx1"/>
            </w14:solidFill>
          </w14:textFill>
        </w:rPr>
        <w:t xml:space="preserve">      日</w:t>
      </w:r>
      <w:r>
        <w:rPr>
          <w:rFonts w:hint="eastAsia" w:ascii="宋体" w:hAnsi="宋体" w:eastAsia="宋体" w:cs="宋体"/>
          <w:color w:val="000000" w:themeColor="text1"/>
          <w:szCs w:val="21"/>
          <w14:textFill>
            <w14:solidFill>
              <w14:schemeClr w14:val="tx1"/>
            </w14:solidFill>
          </w14:textFill>
        </w:rPr>
        <w:t>前支付下期固定租金。</w:t>
      </w:r>
    </w:p>
    <w:p w14:paraId="5474136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②支付提成租金，乙方的提成租金按</w:t>
      </w:r>
      <w:r>
        <w:rPr>
          <w:rFonts w:hint="eastAsia" w:ascii="宋体" w:hAnsi="宋体" w:eastAsia="宋体" w:cs="宋体"/>
          <w:b/>
          <w:bCs/>
          <w:color w:val="000000" w:themeColor="text1"/>
          <w:szCs w:val="21"/>
          <w:u w:val="single"/>
          <w14:textFill>
            <w14:solidFill>
              <w14:schemeClr w14:val="tx1"/>
            </w14:solidFill>
          </w14:textFill>
        </w:rPr>
        <w:t xml:space="preserve">      个月</w:t>
      </w:r>
      <w:r>
        <w:rPr>
          <w:rFonts w:hint="eastAsia" w:ascii="宋体" w:hAnsi="宋体" w:eastAsia="宋体" w:cs="宋体"/>
          <w:color w:val="000000" w:themeColor="text1"/>
          <w:szCs w:val="21"/>
          <w14:textFill>
            <w14:solidFill>
              <w14:schemeClr w14:val="tx1"/>
            </w14:solidFill>
          </w14:textFill>
        </w:rPr>
        <w:t>结算，乙方应于支付周期届满次月</w:t>
      </w:r>
      <w:r>
        <w:rPr>
          <w:rFonts w:hint="eastAsia" w:ascii="宋体" w:hAnsi="宋体" w:eastAsia="宋体" w:cs="宋体"/>
          <w:b/>
          <w:bCs/>
          <w:color w:val="000000" w:themeColor="text1"/>
          <w:szCs w:val="21"/>
          <w:u w:val="single"/>
          <w14:textFill>
            <w14:solidFill>
              <w14:schemeClr w14:val="tx1"/>
            </w14:solidFill>
          </w14:textFill>
        </w:rPr>
        <w:t xml:space="preserve">     日</w:t>
      </w:r>
      <w:r>
        <w:rPr>
          <w:rFonts w:hint="eastAsia" w:ascii="宋体" w:hAnsi="宋体" w:eastAsia="宋体" w:cs="宋体"/>
          <w:color w:val="000000" w:themeColor="text1"/>
          <w:szCs w:val="21"/>
          <w14:textFill>
            <w14:solidFill>
              <w14:schemeClr w14:val="tx1"/>
            </w14:solidFill>
          </w14:textFill>
        </w:rPr>
        <w:t>前支付上个支付周期的提成租金。</w:t>
      </w:r>
    </w:p>
    <w:p w14:paraId="1BE74F0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③按固定租金（前述总称为固定费用）与提成租金两者中的不含税金额较高者为标准支付租金。首个支付周期固定租金乙方应于本合同签署时向甲方支付，其后各期预付的固定租金，乙方应于当期最后一个月</w:t>
      </w:r>
      <w:r>
        <w:rPr>
          <w:rFonts w:hint="eastAsia" w:ascii="宋体" w:hAnsi="宋体" w:eastAsia="宋体" w:cs="宋体"/>
          <w:b/>
          <w:bCs/>
          <w:color w:val="000000" w:themeColor="text1"/>
          <w:szCs w:val="21"/>
          <w:u w:val="single"/>
          <w14:textFill>
            <w14:solidFill>
              <w14:schemeClr w14:val="tx1"/>
            </w14:solidFill>
          </w14:textFill>
        </w:rPr>
        <w:t xml:space="preserve">      日</w:t>
      </w:r>
      <w:r>
        <w:rPr>
          <w:rFonts w:hint="eastAsia" w:ascii="宋体" w:hAnsi="宋体" w:eastAsia="宋体" w:cs="宋体"/>
          <w:color w:val="000000" w:themeColor="text1"/>
          <w:szCs w:val="21"/>
          <w14:textFill>
            <w14:solidFill>
              <w14:schemeClr w14:val="tx1"/>
            </w14:solidFill>
          </w14:textFill>
        </w:rPr>
        <w:t>前向甲方支付。乙方的提成租金应按</w:t>
      </w:r>
      <w:r>
        <w:rPr>
          <w:rFonts w:hint="eastAsia" w:ascii="宋体" w:hAnsi="宋体" w:eastAsia="宋体" w:cs="宋体"/>
          <w:b/>
          <w:bCs/>
          <w:color w:val="000000" w:themeColor="text1"/>
          <w:szCs w:val="21"/>
          <w:u w:val="single"/>
          <w14:textFill>
            <w14:solidFill>
              <w14:schemeClr w14:val="tx1"/>
            </w14:solidFill>
          </w14:textFill>
        </w:rPr>
        <w:t xml:space="preserve">    个月</w:t>
      </w:r>
      <w:r>
        <w:rPr>
          <w:rFonts w:hint="eastAsia" w:ascii="宋体" w:hAnsi="宋体" w:eastAsia="宋体" w:cs="宋体"/>
          <w:color w:val="000000" w:themeColor="text1"/>
          <w:szCs w:val="21"/>
          <w14:textFill>
            <w14:solidFill>
              <w14:schemeClr w14:val="tx1"/>
            </w14:solidFill>
          </w14:textFill>
        </w:rPr>
        <w:t>结算，乙方应于支付周期届满次月</w:t>
      </w:r>
      <w:r>
        <w:rPr>
          <w:rFonts w:hint="eastAsia" w:ascii="宋体" w:hAnsi="宋体" w:eastAsia="宋体" w:cs="宋体"/>
          <w:b/>
          <w:bCs/>
          <w:color w:val="000000" w:themeColor="text1"/>
          <w:szCs w:val="21"/>
          <w:u w:val="single"/>
          <w14:textFill>
            <w14:solidFill>
              <w14:schemeClr w14:val="tx1"/>
            </w14:solidFill>
          </w14:textFill>
        </w:rPr>
        <w:t xml:space="preserve">      日</w:t>
      </w:r>
      <w:r>
        <w:rPr>
          <w:rFonts w:hint="eastAsia" w:ascii="宋体" w:hAnsi="宋体" w:eastAsia="宋体" w:cs="宋体"/>
          <w:color w:val="000000" w:themeColor="text1"/>
          <w:szCs w:val="21"/>
          <w14:textFill>
            <w14:solidFill>
              <w14:schemeClr w14:val="tx1"/>
            </w14:solidFill>
          </w14:textFill>
        </w:rPr>
        <w:t>前支付上个支付周期的提成租金超过固定费用的差额部分。</w:t>
      </w:r>
    </w:p>
    <w:p w14:paraId="67F4A099">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④按固定租金与提成租金之和为标准支付租金。首个支付周期固定租金乙方应于本合同签署时向甲方支付，其后各期预付的固定租金，乙方应于当期最后一个月</w:t>
      </w:r>
      <w:r>
        <w:rPr>
          <w:rFonts w:hint="eastAsia" w:ascii="宋体" w:hAnsi="宋体" w:eastAsia="宋体" w:cs="宋体"/>
          <w:b/>
          <w:bCs/>
          <w:color w:val="000000" w:themeColor="text1"/>
          <w:szCs w:val="21"/>
          <w:u w:val="single"/>
          <w14:textFill>
            <w14:solidFill>
              <w14:schemeClr w14:val="tx1"/>
            </w14:solidFill>
          </w14:textFill>
        </w:rPr>
        <w:t xml:space="preserve">     日</w:t>
      </w:r>
      <w:r>
        <w:rPr>
          <w:rFonts w:hint="eastAsia" w:ascii="宋体" w:hAnsi="宋体" w:eastAsia="宋体" w:cs="宋体"/>
          <w:color w:val="000000" w:themeColor="text1"/>
          <w:szCs w:val="21"/>
          <w14:textFill>
            <w14:solidFill>
              <w14:schemeClr w14:val="tx1"/>
            </w14:solidFill>
          </w14:textFill>
        </w:rPr>
        <w:t>前内向甲方支付。乙方的提成租金应按</w:t>
      </w:r>
      <w:r>
        <w:rPr>
          <w:rFonts w:hint="eastAsia" w:ascii="宋体" w:hAnsi="宋体" w:eastAsia="宋体" w:cs="宋体"/>
          <w:b/>
          <w:bCs/>
          <w:color w:val="000000" w:themeColor="text1"/>
          <w:szCs w:val="21"/>
          <w:u w:val="single"/>
          <w14:textFill>
            <w14:solidFill>
              <w14:schemeClr w14:val="tx1"/>
            </w14:solidFill>
          </w14:textFill>
        </w:rPr>
        <w:t xml:space="preserve">    个月</w:t>
      </w:r>
      <w:r>
        <w:rPr>
          <w:rFonts w:hint="eastAsia" w:ascii="宋体" w:hAnsi="宋体" w:eastAsia="宋体" w:cs="宋体"/>
          <w:color w:val="000000" w:themeColor="text1"/>
          <w:szCs w:val="21"/>
          <w14:textFill>
            <w14:solidFill>
              <w14:schemeClr w14:val="tx1"/>
            </w14:solidFill>
          </w14:textFill>
        </w:rPr>
        <w:t>结算，乙方应于支付周期届满次月</w:t>
      </w:r>
      <w:r>
        <w:rPr>
          <w:rFonts w:hint="eastAsia" w:ascii="宋体" w:hAnsi="宋体" w:eastAsia="宋体" w:cs="宋体"/>
          <w:b/>
          <w:bCs/>
          <w:color w:val="000000" w:themeColor="text1"/>
          <w:szCs w:val="21"/>
          <w:u w:val="single"/>
          <w14:textFill>
            <w14:solidFill>
              <w14:schemeClr w14:val="tx1"/>
            </w14:solidFill>
          </w14:textFill>
        </w:rPr>
        <w:t xml:space="preserve">      日</w:t>
      </w:r>
      <w:r>
        <w:rPr>
          <w:rFonts w:hint="eastAsia" w:ascii="宋体" w:hAnsi="宋体" w:eastAsia="宋体" w:cs="宋体"/>
          <w:color w:val="000000" w:themeColor="text1"/>
          <w:szCs w:val="21"/>
          <w14:textFill>
            <w14:solidFill>
              <w14:schemeClr w14:val="tx1"/>
            </w14:solidFill>
          </w14:textFill>
        </w:rPr>
        <w:t>前支付上个支付周期的提成租金。</w:t>
      </w:r>
    </w:p>
    <w:tbl>
      <w:tblPr>
        <w:tblStyle w:val="7"/>
        <w:tblW w:w="893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7"/>
        <w:gridCol w:w="2823"/>
        <w:gridCol w:w="2196"/>
        <w:gridCol w:w="3250"/>
      </w:tblGrid>
      <w:tr w14:paraId="58E65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667" w:type="dxa"/>
            <w:vMerge w:val="restart"/>
            <w:shd w:val="clear" w:color="auto" w:fill="E7E6E6"/>
          </w:tcPr>
          <w:p w14:paraId="5C17B806">
            <w:pPr>
              <w:autoSpaceDE w:val="0"/>
              <w:autoSpaceDN w:val="0"/>
              <w:rPr>
                <w:rFonts w:ascii="宋体" w:hAnsi="宋体" w:eastAsia="宋体" w:cs="宋体"/>
                <w:color w:val="000000" w:themeColor="text1"/>
                <w:sz w:val="20"/>
                <w:szCs w:val="22"/>
                <w:lang w:val="zh-CN" w:bidi="zh-CN"/>
                <w14:textFill>
                  <w14:solidFill>
                    <w14:schemeClr w14:val="tx1"/>
                  </w14:solidFill>
                </w14:textFill>
              </w:rPr>
            </w:pPr>
          </w:p>
          <w:p w14:paraId="4C7AA726">
            <w:pPr>
              <w:autoSpaceDE w:val="0"/>
              <w:autoSpaceDN w:val="0"/>
              <w:rPr>
                <w:rFonts w:ascii="宋体" w:hAnsi="宋体" w:eastAsia="宋体" w:cs="宋体"/>
                <w:color w:val="000000" w:themeColor="text1"/>
                <w:sz w:val="20"/>
                <w:szCs w:val="22"/>
                <w:lang w:val="zh-CN" w:bidi="zh-CN"/>
                <w14:textFill>
                  <w14:solidFill>
                    <w14:schemeClr w14:val="tx1"/>
                  </w14:solidFill>
                </w14:textFill>
              </w:rPr>
            </w:pPr>
          </w:p>
          <w:p w14:paraId="5AB07E67">
            <w:pPr>
              <w:autoSpaceDE w:val="0"/>
              <w:autoSpaceDN w:val="0"/>
              <w:rPr>
                <w:rFonts w:ascii="宋体" w:hAnsi="宋体" w:eastAsia="宋体" w:cs="宋体"/>
                <w:color w:val="000000" w:themeColor="text1"/>
                <w:sz w:val="20"/>
                <w:szCs w:val="22"/>
                <w:lang w:val="zh-CN" w:bidi="zh-CN"/>
                <w14:textFill>
                  <w14:solidFill>
                    <w14:schemeClr w14:val="tx1"/>
                  </w14:solidFill>
                </w14:textFill>
              </w:rPr>
            </w:pPr>
          </w:p>
          <w:p w14:paraId="6AA8ABF6">
            <w:pPr>
              <w:autoSpaceDE w:val="0"/>
              <w:autoSpaceDN w:val="0"/>
              <w:rPr>
                <w:rFonts w:ascii="宋体" w:hAnsi="宋体" w:eastAsia="宋体" w:cs="宋体"/>
                <w:color w:val="000000" w:themeColor="text1"/>
                <w:sz w:val="20"/>
                <w:szCs w:val="22"/>
                <w:lang w:val="zh-CN" w:bidi="zh-CN"/>
                <w14:textFill>
                  <w14:solidFill>
                    <w14:schemeClr w14:val="tx1"/>
                  </w14:solidFill>
                </w14:textFill>
              </w:rPr>
            </w:pPr>
          </w:p>
          <w:p w14:paraId="0CE1D748">
            <w:pPr>
              <w:autoSpaceDE w:val="0"/>
              <w:autoSpaceDN w:val="0"/>
              <w:rPr>
                <w:rFonts w:ascii="宋体" w:hAnsi="宋体" w:eastAsia="宋体" w:cs="宋体"/>
                <w:color w:val="000000" w:themeColor="text1"/>
                <w:sz w:val="20"/>
                <w:szCs w:val="22"/>
                <w:lang w:val="zh-CN" w:bidi="zh-CN"/>
                <w14:textFill>
                  <w14:solidFill>
                    <w14:schemeClr w14:val="tx1"/>
                  </w14:solidFill>
                </w14:textFill>
              </w:rPr>
            </w:pPr>
          </w:p>
          <w:p w14:paraId="44F8674F">
            <w:pPr>
              <w:autoSpaceDE w:val="0"/>
              <w:autoSpaceDN w:val="0"/>
              <w:rPr>
                <w:rFonts w:ascii="宋体" w:hAnsi="宋体" w:eastAsia="宋体" w:cs="宋体"/>
                <w:color w:val="000000" w:themeColor="text1"/>
                <w:sz w:val="20"/>
                <w:szCs w:val="22"/>
                <w:lang w:val="zh-CN" w:bidi="zh-CN"/>
                <w14:textFill>
                  <w14:solidFill>
                    <w14:schemeClr w14:val="tx1"/>
                  </w14:solidFill>
                </w14:textFill>
              </w:rPr>
            </w:pPr>
          </w:p>
          <w:p w14:paraId="70289C5B">
            <w:pPr>
              <w:autoSpaceDE w:val="0"/>
              <w:autoSpaceDN w:val="0"/>
              <w:rPr>
                <w:rFonts w:ascii="宋体" w:hAnsi="宋体" w:eastAsia="宋体" w:cs="宋体"/>
                <w:color w:val="000000" w:themeColor="text1"/>
                <w:sz w:val="20"/>
                <w:szCs w:val="22"/>
                <w:lang w:val="zh-CN" w:bidi="zh-CN"/>
                <w14:textFill>
                  <w14:solidFill>
                    <w14:schemeClr w14:val="tx1"/>
                  </w14:solidFill>
                </w14:textFill>
              </w:rPr>
            </w:pPr>
          </w:p>
          <w:p w14:paraId="274CD5DF">
            <w:pPr>
              <w:autoSpaceDE w:val="0"/>
              <w:autoSpaceDN w:val="0"/>
              <w:rPr>
                <w:rFonts w:ascii="宋体" w:hAnsi="宋体" w:eastAsia="宋体" w:cs="宋体"/>
                <w:color w:val="000000" w:themeColor="text1"/>
                <w:sz w:val="20"/>
                <w:szCs w:val="22"/>
                <w:lang w:val="zh-CN" w:bidi="zh-CN"/>
                <w14:textFill>
                  <w14:solidFill>
                    <w14:schemeClr w14:val="tx1"/>
                  </w14:solidFill>
                </w14:textFill>
              </w:rPr>
            </w:pPr>
          </w:p>
          <w:p w14:paraId="31DC0D85">
            <w:pPr>
              <w:autoSpaceDE w:val="0"/>
              <w:autoSpaceDN w:val="0"/>
              <w:rPr>
                <w:rFonts w:ascii="宋体" w:hAnsi="宋体" w:eastAsia="宋体" w:cs="宋体"/>
                <w:color w:val="000000" w:themeColor="text1"/>
                <w:sz w:val="20"/>
                <w:szCs w:val="22"/>
                <w:lang w:val="zh-CN" w:bidi="zh-CN"/>
                <w14:textFill>
                  <w14:solidFill>
                    <w14:schemeClr w14:val="tx1"/>
                  </w14:solidFill>
                </w14:textFill>
              </w:rPr>
            </w:pPr>
          </w:p>
          <w:p w14:paraId="3748A61C">
            <w:pPr>
              <w:autoSpaceDE w:val="0"/>
              <w:autoSpaceDN w:val="0"/>
              <w:spacing w:before="137"/>
              <w:ind w:left="107"/>
              <w:rPr>
                <w:rFonts w:ascii="Times New Roman" w:hAnsi="宋体" w:eastAsia="宋体" w:cs="宋体"/>
                <w:color w:val="000000" w:themeColor="text1"/>
                <w:sz w:val="18"/>
                <w:szCs w:val="22"/>
                <w:lang w:val="zh-CN" w:bidi="zh-CN"/>
                <w14:textFill>
                  <w14:solidFill>
                    <w14:schemeClr w14:val="tx1"/>
                  </w14:solidFill>
                </w14:textFill>
              </w:rPr>
            </w:pPr>
            <w:r>
              <w:rPr>
                <w:rFonts w:ascii="Times New Roman" w:hAnsi="宋体" w:eastAsia="宋体" w:cs="宋体"/>
                <w:color w:val="000000" w:themeColor="text1"/>
                <w:sz w:val="18"/>
                <w:szCs w:val="22"/>
                <w:lang w:val="zh-CN" w:bidi="zh-CN"/>
                <w14:textFill>
                  <w14:solidFill>
                    <w14:schemeClr w14:val="tx1"/>
                  </w14:solidFill>
                </w14:textFill>
              </w:rPr>
              <w:t>2</w:t>
            </w:r>
            <w:r>
              <w:rPr>
                <w:rFonts w:hint="eastAsia" w:ascii="Times New Roman" w:hAnsi="宋体" w:eastAsia="宋体" w:cs="宋体"/>
                <w:color w:val="000000" w:themeColor="text1"/>
                <w:sz w:val="18"/>
                <w:szCs w:val="22"/>
                <w:lang w:val="zh-CN" w:bidi="zh-CN"/>
                <w14:textFill>
                  <w14:solidFill>
                    <w14:schemeClr w14:val="tx1"/>
                  </w14:solidFill>
                </w14:textFill>
              </w:rPr>
              <w:t>8</w:t>
            </w:r>
            <w:r>
              <w:rPr>
                <w:rFonts w:ascii="Times New Roman" w:hAnsi="宋体" w:eastAsia="宋体" w:cs="宋体"/>
                <w:color w:val="000000" w:themeColor="text1"/>
                <w:sz w:val="18"/>
                <w:szCs w:val="22"/>
                <w:lang w:val="zh-CN" w:bidi="zh-CN"/>
                <w14:textFill>
                  <w14:solidFill>
                    <w14:schemeClr w14:val="tx1"/>
                  </w14:solidFill>
                </w14:textFill>
              </w:rPr>
              <w:t>.1.2</w:t>
            </w:r>
          </w:p>
          <w:p w14:paraId="72C07865">
            <w:pPr>
              <w:autoSpaceDE w:val="0"/>
              <w:autoSpaceDN w:val="0"/>
              <w:spacing w:before="93"/>
              <w:ind w:left="107"/>
              <w:rPr>
                <w:rFonts w:ascii="宋体" w:hAnsi="宋体" w:eastAsia="宋体" w:cs="宋体"/>
                <w:color w:val="000000" w:themeColor="text1"/>
                <w:sz w:val="18"/>
                <w:szCs w:val="22"/>
                <w:lang w:val="zh-CN" w:bidi="zh-CN"/>
                <w14:textFill>
                  <w14:solidFill>
                    <w14:schemeClr w14:val="tx1"/>
                  </w14:solidFill>
                </w14:textFill>
              </w:rPr>
            </w:pPr>
            <w:r>
              <w:rPr>
                <w:rFonts w:ascii="宋体" w:hAnsi="宋体" w:eastAsia="宋体" w:cs="宋体"/>
                <w:color w:val="000000" w:themeColor="text1"/>
                <w:sz w:val="18"/>
                <w:szCs w:val="22"/>
                <w:lang w:val="zh-CN" w:bidi="zh-CN"/>
                <w14:textFill>
                  <w14:solidFill>
                    <w14:schemeClr w14:val="tx1"/>
                  </w14:solidFill>
                </w14:textFill>
              </w:rPr>
              <w:t>租金</w:t>
            </w:r>
          </w:p>
        </w:tc>
        <w:tc>
          <w:tcPr>
            <w:tcW w:w="8269" w:type="dxa"/>
            <w:gridSpan w:val="3"/>
            <w:shd w:val="clear" w:color="auto" w:fill="E7E6E6"/>
          </w:tcPr>
          <w:p w14:paraId="481EB77B">
            <w:pPr>
              <w:autoSpaceDE w:val="0"/>
              <w:autoSpaceDN w:val="0"/>
              <w:spacing w:line="286" w:lineRule="exact"/>
              <w:ind w:left="3749" w:right="3743"/>
              <w:jc w:val="center"/>
              <w:rPr>
                <w:rFonts w:ascii="Microsoft JhengHei" w:hAnsi="宋体" w:eastAsia="Microsoft JhengHei" w:cs="宋体"/>
                <w:b/>
                <w:color w:val="000000" w:themeColor="text1"/>
                <w:sz w:val="18"/>
                <w:szCs w:val="22"/>
                <w:lang w:val="zh-CN" w:bidi="zh-CN"/>
                <w14:textFill>
                  <w14:solidFill>
                    <w14:schemeClr w14:val="tx1"/>
                  </w14:solidFill>
                </w14:textFill>
              </w:rPr>
            </w:pPr>
            <w:r>
              <w:rPr>
                <w:rFonts w:hint="eastAsia" w:ascii="Microsoft JhengHei" w:hAnsi="宋体" w:eastAsia="Microsoft JhengHei" w:cs="宋体"/>
                <w:b/>
                <w:color w:val="000000" w:themeColor="text1"/>
                <w:sz w:val="18"/>
                <w:szCs w:val="22"/>
                <w:lang w:val="zh-CN" w:bidi="zh-CN"/>
                <w14:textFill>
                  <w14:solidFill>
                    <w14:schemeClr w14:val="tx1"/>
                  </w14:solidFill>
                </w14:textFill>
              </w:rPr>
              <w:t>固定租金</w:t>
            </w:r>
          </w:p>
        </w:tc>
      </w:tr>
      <w:tr w14:paraId="25CC8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667" w:type="dxa"/>
            <w:vMerge w:val="continue"/>
            <w:tcBorders>
              <w:top w:val="nil"/>
            </w:tcBorders>
            <w:shd w:val="clear" w:color="auto" w:fill="E7E6E6"/>
          </w:tcPr>
          <w:p w14:paraId="2A58ECA8">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c>
          <w:tcPr>
            <w:tcW w:w="2823" w:type="dxa"/>
            <w:shd w:val="clear" w:color="auto" w:fill="E7E6E6"/>
          </w:tcPr>
          <w:p w14:paraId="3F336C90">
            <w:pPr>
              <w:autoSpaceDE w:val="0"/>
              <w:autoSpaceDN w:val="0"/>
              <w:spacing w:before="3"/>
              <w:rPr>
                <w:rFonts w:ascii="宋体" w:hAnsi="宋体" w:eastAsia="宋体" w:cs="宋体"/>
                <w:color w:val="000000" w:themeColor="text1"/>
                <w:sz w:val="13"/>
                <w:szCs w:val="22"/>
                <w:lang w:val="zh-CN" w:bidi="zh-CN"/>
                <w14:textFill>
                  <w14:solidFill>
                    <w14:schemeClr w14:val="tx1"/>
                  </w14:solidFill>
                </w14:textFill>
              </w:rPr>
            </w:pPr>
          </w:p>
          <w:p w14:paraId="50CD79EF">
            <w:pPr>
              <w:autoSpaceDE w:val="0"/>
              <w:autoSpaceDN w:val="0"/>
              <w:ind w:left="447" w:right="438"/>
              <w:jc w:val="center"/>
              <w:rPr>
                <w:rFonts w:ascii="宋体" w:hAnsi="宋体" w:eastAsia="宋体" w:cs="宋体"/>
                <w:color w:val="000000" w:themeColor="text1"/>
                <w:sz w:val="18"/>
                <w:szCs w:val="22"/>
                <w:lang w:val="zh-CN" w:bidi="zh-CN"/>
                <w14:textFill>
                  <w14:solidFill>
                    <w14:schemeClr w14:val="tx1"/>
                  </w14:solidFill>
                </w14:textFill>
              </w:rPr>
            </w:pPr>
            <w:r>
              <w:rPr>
                <w:rFonts w:ascii="宋体" w:hAnsi="宋体" w:eastAsia="宋体" w:cs="宋体"/>
                <w:color w:val="000000" w:themeColor="text1"/>
                <w:sz w:val="18"/>
                <w:szCs w:val="22"/>
                <w:lang w:val="zh-CN" w:bidi="zh-CN"/>
                <w14:textFill>
                  <w14:solidFill>
                    <w14:schemeClr w14:val="tx1"/>
                  </w14:solidFill>
                </w14:textFill>
              </w:rPr>
              <w:t>期间</w:t>
            </w:r>
          </w:p>
        </w:tc>
        <w:tc>
          <w:tcPr>
            <w:tcW w:w="2196" w:type="dxa"/>
            <w:shd w:val="clear" w:color="auto" w:fill="E7E6E6"/>
          </w:tcPr>
          <w:p w14:paraId="08F97191">
            <w:pPr>
              <w:autoSpaceDE w:val="0"/>
              <w:autoSpaceDN w:val="0"/>
              <w:spacing w:before="170"/>
              <w:ind w:left="151" w:right="144"/>
              <w:jc w:val="center"/>
              <w:rPr>
                <w:rFonts w:ascii="宋体" w:hAnsi="宋体" w:eastAsia="宋体" w:cs="宋体"/>
                <w:color w:val="000000" w:themeColor="text1"/>
                <w:sz w:val="18"/>
                <w:szCs w:val="22"/>
                <w:lang w:val="zh-CN" w:bidi="zh-CN"/>
                <w14:textFill>
                  <w14:solidFill>
                    <w14:schemeClr w14:val="tx1"/>
                  </w14:solidFill>
                </w14:textFill>
              </w:rPr>
            </w:pPr>
            <w:r>
              <w:rPr>
                <w:rFonts w:ascii="宋体" w:hAnsi="宋体" w:eastAsia="宋体" w:cs="宋体"/>
                <w:color w:val="000000" w:themeColor="text1"/>
                <w:sz w:val="18"/>
                <w:szCs w:val="22"/>
                <w:lang w:val="zh-CN" w:bidi="zh-CN"/>
                <w14:textFill>
                  <w14:solidFill>
                    <w14:schemeClr w14:val="tx1"/>
                  </w14:solidFill>
                </w14:textFill>
              </w:rPr>
              <w:t>租金单价（元</w:t>
            </w:r>
            <w:r>
              <w:rPr>
                <w:rFonts w:ascii="Times New Roman" w:hAnsi="宋体" w:eastAsia="Times New Roman" w:cs="宋体"/>
                <w:color w:val="000000" w:themeColor="text1"/>
                <w:sz w:val="18"/>
                <w:szCs w:val="22"/>
                <w:lang w:val="zh-CN" w:bidi="zh-CN"/>
                <w14:textFill>
                  <w14:solidFill>
                    <w14:schemeClr w14:val="tx1"/>
                  </w14:solidFill>
                </w14:textFill>
              </w:rPr>
              <w:t>/</w:t>
            </w:r>
            <w:r>
              <w:rPr>
                <w:rFonts w:ascii="宋体" w:hAnsi="宋体" w:eastAsia="宋体" w:cs="宋体"/>
                <w:color w:val="000000" w:themeColor="text1"/>
                <w:sz w:val="18"/>
                <w:szCs w:val="22"/>
                <w:lang w:val="zh-CN" w:bidi="zh-CN"/>
                <w14:textFill>
                  <w14:solidFill>
                    <w14:schemeClr w14:val="tx1"/>
                  </w14:solidFill>
                </w14:textFill>
              </w:rPr>
              <w:t>㎡</w:t>
            </w:r>
            <w:r>
              <w:rPr>
                <w:rFonts w:ascii="Times New Roman" w:hAnsi="宋体" w:eastAsia="Times New Roman" w:cs="宋体"/>
                <w:color w:val="000000" w:themeColor="text1"/>
                <w:sz w:val="18"/>
                <w:szCs w:val="22"/>
                <w:lang w:val="zh-CN" w:bidi="zh-CN"/>
                <w14:textFill>
                  <w14:solidFill>
                    <w14:schemeClr w14:val="tx1"/>
                  </w14:solidFill>
                </w14:textFill>
              </w:rPr>
              <w:t>/</w:t>
            </w:r>
            <w:r>
              <w:rPr>
                <w:rFonts w:ascii="宋体" w:hAnsi="宋体" w:eastAsia="宋体" w:cs="宋体"/>
                <w:color w:val="000000" w:themeColor="text1"/>
                <w:sz w:val="18"/>
                <w:szCs w:val="22"/>
                <w:lang w:val="zh-CN" w:bidi="zh-CN"/>
                <w14:textFill>
                  <w14:solidFill>
                    <w14:schemeClr w14:val="tx1"/>
                  </w14:solidFill>
                </w14:textFill>
              </w:rPr>
              <w:t>日）</w:t>
            </w:r>
          </w:p>
        </w:tc>
        <w:tc>
          <w:tcPr>
            <w:tcW w:w="3250" w:type="dxa"/>
            <w:shd w:val="clear" w:color="auto" w:fill="E7E6E6"/>
            <w:vAlign w:val="center"/>
          </w:tcPr>
          <w:p w14:paraId="5ADBC206">
            <w:pPr>
              <w:autoSpaceDE w:val="0"/>
              <w:autoSpaceDN w:val="0"/>
              <w:spacing w:before="14"/>
              <w:ind w:right="152"/>
              <w:jc w:val="center"/>
              <w:rPr>
                <w:rFonts w:ascii="Times New Roman" w:hAnsi="宋体" w:eastAsia="Times New Roman" w:cs="宋体"/>
                <w:color w:val="000000" w:themeColor="text1"/>
                <w:sz w:val="18"/>
                <w:szCs w:val="22"/>
                <w:lang w:val="zh-CN" w:bidi="zh-CN"/>
                <w14:textFill>
                  <w14:solidFill>
                    <w14:schemeClr w14:val="tx1"/>
                  </w14:solidFill>
                </w14:textFill>
              </w:rPr>
            </w:pPr>
            <w:r>
              <w:rPr>
                <w:rFonts w:ascii="宋体" w:hAnsi="宋体" w:eastAsia="宋体" w:cs="宋体"/>
                <w:color w:val="000000" w:themeColor="text1"/>
                <w:sz w:val="18"/>
                <w:szCs w:val="22"/>
                <w:lang w:val="zh-CN" w:bidi="zh-CN"/>
                <w14:textFill>
                  <w14:solidFill>
                    <w14:schemeClr w14:val="tx1"/>
                  </w14:solidFill>
                </w14:textFill>
              </w:rPr>
              <w:t>每年租金总额</w:t>
            </w:r>
            <w:r>
              <w:rPr>
                <w:rFonts w:hint="eastAsia" w:ascii="宋体" w:hAnsi="宋体" w:eastAsia="宋体" w:cs="宋体"/>
                <w:color w:val="000000" w:themeColor="text1"/>
                <w:sz w:val="18"/>
                <w:szCs w:val="22"/>
                <w:lang w:val="zh-CN" w:bidi="zh-CN"/>
                <w14:textFill>
                  <w14:solidFill>
                    <w14:schemeClr w14:val="tx1"/>
                  </w14:solidFill>
                </w14:textFill>
              </w:rPr>
              <w:t>（</w:t>
            </w:r>
            <w:r>
              <w:rPr>
                <w:rFonts w:ascii="宋体" w:hAnsi="宋体" w:eastAsia="宋体" w:cs="宋体"/>
                <w:color w:val="000000" w:themeColor="text1"/>
                <w:sz w:val="18"/>
                <w:szCs w:val="22"/>
                <w:lang w:val="zh-CN" w:bidi="zh-CN"/>
                <w14:textFill>
                  <w14:solidFill>
                    <w14:schemeClr w14:val="tx1"/>
                  </w14:solidFill>
                </w14:textFill>
              </w:rPr>
              <w:t>元</w:t>
            </w:r>
            <w:r>
              <w:rPr>
                <w:rFonts w:hint="eastAsia" w:ascii="宋体" w:hAnsi="宋体" w:eastAsia="宋体" w:cs="宋体"/>
                <w:color w:val="000000" w:themeColor="text1"/>
                <w:sz w:val="18"/>
                <w:szCs w:val="22"/>
                <w:lang w:val="zh-CN" w:bidi="zh-CN"/>
                <w14:textFill>
                  <w14:solidFill>
                    <w14:schemeClr w14:val="tx1"/>
                  </w14:solidFill>
                </w14:textFill>
              </w:rPr>
              <w:t>）</w:t>
            </w:r>
          </w:p>
        </w:tc>
      </w:tr>
      <w:tr w14:paraId="73E4F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667" w:type="dxa"/>
            <w:vMerge w:val="continue"/>
            <w:tcBorders>
              <w:top w:val="nil"/>
            </w:tcBorders>
            <w:shd w:val="clear" w:color="auto" w:fill="E7E6E6"/>
          </w:tcPr>
          <w:p w14:paraId="1648EF36">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c>
          <w:tcPr>
            <w:tcW w:w="2823" w:type="dxa"/>
            <w:vAlign w:val="center"/>
          </w:tcPr>
          <w:p w14:paraId="695FA896">
            <w:pPr>
              <w:autoSpaceDE w:val="0"/>
              <w:autoSpaceDN w:val="0"/>
              <w:spacing w:before="14"/>
              <w:jc w:val="center"/>
              <w:rPr>
                <w:rFonts w:ascii="宋体" w:hAnsi="宋体" w:eastAsia="宋体" w:cs="宋体"/>
                <w:color w:val="000000" w:themeColor="text1"/>
                <w:sz w:val="18"/>
                <w:szCs w:val="22"/>
                <w:lang w:val="zh-CN" w:bidi="zh-CN"/>
                <w14:textFill>
                  <w14:solidFill>
                    <w14:schemeClr w14:val="tx1"/>
                  </w14:solidFill>
                </w14:textFill>
              </w:rPr>
            </w:pPr>
            <w:r>
              <w:rPr>
                <w:rFonts w:ascii="宋体" w:hAnsi="宋体" w:eastAsia="宋体" w:cs="宋体"/>
                <w:color w:val="000000" w:themeColor="text1"/>
                <w:sz w:val="18"/>
                <w:szCs w:val="22"/>
                <w:lang w:val="zh-CN" w:bidi="zh-CN"/>
                <w14:textFill>
                  <w14:solidFill>
                    <w14:schemeClr w14:val="tx1"/>
                  </w14:solidFill>
                </w14:textFill>
              </w:rPr>
              <w:t>至</w:t>
            </w:r>
          </w:p>
        </w:tc>
        <w:tc>
          <w:tcPr>
            <w:tcW w:w="2196" w:type="dxa"/>
          </w:tcPr>
          <w:p w14:paraId="2AB34DE0">
            <w:pPr>
              <w:autoSpaceDE w:val="0"/>
              <w:autoSpaceDN w:val="0"/>
              <w:rPr>
                <w:rFonts w:ascii="Times New Roman" w:hAnsi="宋体" w:eastAsia="宋体" w:cs="宋体"/>
                <w:color w:val="000000" w:themeColor="text1"/>
                <w:sz w:val="20"/>
                <w:szCs w:val="22"/>
                <w:lang w:val="zh-CN" w:bidi="zh-CN"/>
                <w14:textFill>
                  <w14:solidFill>
                    <w14:schemeClr w14:val="tx1"/>
                  </w14:solidFill>
                </w14:textFill>
              </w:rPr>
            </w:pPr>
          </w:p>
        </w:tc>
        <w:tc>
          <w:tcPr>
            <w:tcW w:w="3250" w:type="dxa"/>
          </w:tcPr>
          <w:p w14:paraId="6C23050C">
            <w:pPr>
              <w:autoSpaceDE w:val="0"/>
              <w:autoSpaceDN w:val="0"/>
              <w:rPr>
                <w:rFonts w:ascii="Times New Roman" w:hAnsi="宋体" w:eastAsia="宋体" w:cs="宋体"/>
                <w:color w:val="000000" w:themeColor="text1"/>
                <w:szCs w:val="22"/>
                <w:lang w:val="zh-CN" w:bidi="zh-CN"/>
                <w14:textFill>
                  <w14:solidFill>
                    <w14:schemeClr w14:val="tx1"/>
                  </w14:solidFill>
                </w14:textFill>
              </w:rPr>
            </w:pPr>
          </w:p>
        </w:tc>
      </w:tr>
      <w:tr w14:paraId="39953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667" w:type="dxa"/>
            <w:vMerge w:val="continue"/>
            <w:tcBorders>
              <w:top w:val="nil"/>
            </w:tcBorders>
            <w:shd w:val="clear" w:color="auto" w:fill="E7E6E6"/>
          </w:tcPr>
          <w:p w14:paraId="4C9858C4">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c>
          <w:tcPr>
            <w:tcW w:w="2823" w:type="dxa"/>
          </w:tcPr>
          <w:p w14:paraId="7DA19FE3">
            <w:pPr>
              <w:autoSpaceDE w:val="0"/>
              <w:autoSpaceDN w:val="0"/>
              <w:spacing w:before="16"/>
              <w:ind w:left="17"/>
              <w:jc w:val="center"/>
              <w:rPr>
                <w:rFonts w:ascii="宋体" w:hAnsi="宋体" w:eastAsia="宋体" w:cs="宋体"/>
                <w:color w:val="000000" w:themeColor="text1"/>
                <w:sz w:val="18"/>
                <w:szCs w:val="22"/>
                <w:lang w:val="zh-CN" w:bidi="zh-CN"/>
                <w14:textFill>
                  <w14:solidFill>
                    <w14:schemeClr w14:val="tx1"/>
                  </w14:solidFill>
                </w14:textFill>
              </w:rPr>
            </w:pPr>
            <w:r>
              <w:rPr>
                <w:rFonts w:ascii="宋体" w:hAnsi="宋体" w:eastAsia="宋体" w:cs="宋体"/>
                <w:color w:val="000000" w:themeColor="text1"/>
                <w:sz w:val="18"/>
                <w:szCs w:val="22"/>
                <w:lang w:val="zh-CN" w:bidi="zh-CN"/>
                <w14:textFill>
                  <w14:solidFill>
                    <w14:schemeClr w14:val="tx1"/>
                  </w14:solidFill>
                </w14:textFill>
              </w:rPr>
              <w:t>至</w:t>
            </w:r>
          </w:p>
        </w:tc>
        <w:tc>
          <w:tcPr>
            <w:tcW w:w="2196" w:type="dxa"/>
          </w:tcPr>
          <w:p w14:paraId="7F5323A1">
            <w:pPr>
              <w:autoSpaceDE w:val="0"/>
              <w:autoSpaceDN w:val="0"/>
              <w:rPr>
                <w:rFonts w:ascii="Times New Roman" w:hAnsi="宋体" w:eastAsia="宋体" w:cs="宋体"/>
                <w:color w:val="000000" w:themeColor="text1"/>
                <w:sz w:val="20"/>
                <w:szCs w:val="22"/>
                <w:lang w:val="zh-CN" w:bidi="zh-CN"/>
                <w14:textFill>
                  <w14:solidFill>
                    <w14:schemeClr w14:val="tx1"/>
                  </w14:solidFill>
                </w14:textFill>
              </w:rPr>
            </w:pPr>
          </w:p>
        </w:tc>
        <w:tc>
          <w:tcPr>
            <w:tcW w:w="3250" w:type="dxa"/>
          </w:tcPr>
          <w:p w14:paraId="0B137E56">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r>
      <w:tr w14:paraId="6C65A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667" w:type="dxa"/>
            <w:vMerge w:val="continue"/>
            <w:tcBorders>
              <w:top w:val="nil"/>
            </w:tcBorders>
            <w:shd w:val="clear" w:color="auto" w:fill="E7E6E6"/>
          </w:tcPr>
          <w:p w14:paraId="2987BE2F">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c>
          <w:tcPr>
            <w:tcW w:w="2823" w:type="dxa"/>
          </w:tcPr>
          <w:p w14:paraId="68AEE2CD">
            <w:pPr>
              <w:autoSpaceDE w:val="0"/>
              <w:autoSpaceDN w:val="0"/>
              <w:spacing w:before="14"/>
              <w:ind w:left="17"/>
              <w:jc w:val="center"/>
              <w:rPr>
                <w:rFonts w:ascii="宋体" w:hAnsi="宋体" w:eastAsia="宋体" w:cs="宋体"/>
                <w:color w:val="000000" w:themeColor="text1"/>
                <w:sz w:val="18"/>
                <w:szCs w:val="22"/>
                <w:lang w:val="zh-CN" w:bidi="zh-CN"/>
                <w14:textFill>
                  <w14:solidFill>
                    <w14:schemeClr w14:val="tx1"/>
                  </w14:solidFill>
                </w14:textFill>
              </w:rPr>
            </w:pPr>
            <w:r>
              <w:rPr>
                <w:rFonts w:ascii="宋体" w:hAnsi="宋体" w:eastAsia="宋体" w:cs="宋体"/>
                <w:color w:val="000000" w:themeColor="text1"/>
                <w:sz w:val="18"/>
                <w:szCs w:val="22"/>
                <w:lang w:val="zh-CN" w:bidi="zh-CN"/>
                <w14:textFill>
                  <w14:solidFill>
                    <w14:schemeClr w14:val="tx1"/>
                  </w14:solidFill>
                </w14:textFill>
              </w:rPr>
              <w:t>至</w:t>
            </w:r>
          </w:p>
        </w:tc>
        <w:tc>
          <w:tcPr>
            <w:tcW w:w="2196" w:type="dxa"/>
          </w:tcPr>
          <w:p w14:paraId="08ED513A">
            <w:pPr>
              <w:autoSpaceDE w:val="0"/>
              <w:autoSpaceDN w:val="0"/>
              <w:rPr>
                <w:rFonts w:ascii="Times New Roman" w:hAnsi="宋体" w:eastAsia="宋体" w:cs="宋体"/>
                <w:color w:val="000000" w:themeColor="text1"/>
                <w:sz w:val="20"/>
                <w:szCs w:val="22"/>
                <w:lang w:val="zh-CN" w:bidi="zh-CN"/>
                <w14:textFill>
                  <w14:solidFill>
                    <w14:schemeClr w14:val="tx1"/>
                  </w14:solidFill>
                </w14:textFill>
              </w:rPr>
            </w:pPr>
          </w:p>
        </w:tc>
        <w:tc>
          <w:tcPr>
            <w:tcW w:w="3250" w:type="dxa"/>
          </w:tcPr>
          <w:p w14:paraId="32DD4021">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r>
      <w:tr w14:paraId="640E9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667" w:type="dxa"/>
            <w:vMerge w:val="continue"/>
            <w:tcBorders>
              <w:top w:val="nil"/>
            </w:tcBorders>
            <w:shd w:val="clear" w:color="auto" w:fill="E7E6E6"/>
          </w:tcPr>
          <w:p w14:paraId="2F460395">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c>
          <w:tcPr>
            <w:tcW w:w="2823" w:type="dxa"/>
          </w:tcPr>
          <w:p w14:paraId="3E907336">
            <w:pPr>
              <w:autoSpaceDE w:val="0"/>
              <w:autoSpaceDN w:val="0"/>
              <w:spacing w:before="14"/>
              <w:ind w:left="17"/>
              <w:jc w:val="center"/>
              <w:rPr>
                <w:rFonts w:ascii="宋体" w:hAnsi="宋体" w:eastAsia="宋体" w:cs="宋体"/>
                <w:color w:val="000000" w:themeColor="text1"/>
                <w:sz w:val="18"/>
                <w:szCs w:val="22"/>
                <w:lang w:val="zh-CN" w:bidi="zh-CN"/>
                <w14:textFill>
                  <w14:solidFill>
                    <w14:schemeClr w14:val="tx1"/>
                  </w14:solidFill>
                </w14:textFill>
              </w:rPr>
            </w:pPr>
            <w:r>
              <w:rPr>
                <w:rFonts w:ascii="宋体" w:hAnsi="宋体" w:eastAsia="宋体" w:cs="宋体"/>
                <w:color w:val="000000" w:themeColor="text1"/>
                <w:sz w:val="18"/>
                <w:szCs w:val="22"/>
                <w:lang w:val="zh-CN" w:bidi="zh-CN"/>
                <w14:textFill>
                  <w14:solidFill>
                    <w14:schemeClr w14:val="tx1"/>
                  </w14:solidFill>
                </w14:textFill>
              </w:rPr>
              <w:t>至</w:t>
            </w:r>
          </w:p>
        </w:tc>
        <w:tc>
          <w:tcPr>
            <w:tcW w:w="2196" w:type="dxa"/>
          </w:tcPr>
          <w:p w14:paraId="179003B7">
            <w:pPr>
              <w:autoSpaceDE w:val="0"/>
              <w:autoSpaceDN w:val="0"/>
              <w:rPr>
                <w:rFonts w:ascii="Times New Roman" w:hAnsi="宋体" w:eastAsia="宋体" w:cs="宋体"/>
                <w:color w:val="000000" w:themeColor="text1"/>
                <w:sz w:val="20"/>
                <w:szCs w:val="22"/>
                <w:lang w:val="zh-CN" w:bidi="zh-CN"/>
                <w14:textFill>
                  <w14:solidFill>
                    <w14:schemeClr w14:val="tx1"/>
                  </w14:solidFill>
                </w14:textFill>
              </w:rPr>
            </w:pPr>
          </w:p>
        </w:tc>
        <w:tc>
          <w:tcPr>
            <w:tcW w:w="3250" w:type="dxa"/>
          </w:tcPr>
          <w:p w14:paraId="0CC88761">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r>
      <w:tr w14:paraId="3BB1B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667" w:type="dxa"/>
            <w:vMerge w:val="continue"/>
            <w:tcBorders>
              <w:top w:val="nil"/>
            </w:tcBorders>
            <w:shd w:val="clear" w:color="auto" w:fill="E7E6E6"/>
          </w:tcPr>
          <w:p w14:paraId="7DE54DB5">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c>
          <w:tcPr>
            <w:tcW w:w="2823" w:type="dxa"/>
          </w:tcPr>
          <w:p w14:paraId="3CBA0CD6">
            <w:pPr>
              <w:autoSpaceDE w:val="0"/>
              <w:autoSpaceDN w:val="0"/>
              <w:spacing w:before="14"/>
              <w:ind w:left="17"/>
              <w:jc w:val="center"/>
              <w:rPr>
                <w:rFonts w:ascii="宋体" w:hAnsi="宋体" w:eastAsia="宋体" w:cs="宋体"/>
                <w:color w:val="000000" w:themeColor="text1"/>
                <w:sz w:val="18"/>
                <w:szCs w:val="22"/>
                <w:lang w:val="zh-CN" w:bidi="zh-CN"/>
                <w14:textFill>
                  <w14:solidFill>
                    <w14:schemeClr w14:val="tx1"/>
                  </w14:solidFill>
                </w14:textFill>
              </w:rPr>
            </w:pPr>
            <w:r>
              <w:rPr>
                <w:rFonts w:ascii="宋体" w:hAnsi="宋体" w:eastAsia="宋体" w:cs="宋体"/>
                <w:color w:val="000000" w:themeColor="text1"/>
                <w:sz w:val="18"/>
                <w:szCs w:val="22"/>
                <w:lang w:val="zh-CN" w:bidi="zh-CN"/>
                <w14:textFill>
                  <w14:solidFill>
                    <w14:schemeClr w14:val="tx1"/>
                  </w14:solidFill>
                </w14:textFill>
              </w:rPr>
              <w:t>至</w:t>
            </w:r>
          </w:p>
        </w:tc>
        <w:tc>
          <w:tcPr>
            <w:tcW w:w="2196" w:type="dxa"/>
          </w:tcPr>
          <w:p w14:paraId="3BFC047E">
            <w:pPr>
              <w:autoSpaceDE w:val="0"/>
              <w:autoSpaceDN w:val="0"/>
              <w:rPr>
                <w:rFonts w:ascii="Times New Roman" w:hAnsi="宋体" w:eastAsia="宋体" w:cs="宋体"/>
                <w:color w:val="000000" w:themeColor="text1"/>
                <w:sz w:val="20"/>
                <w:szCs w:val="22"/>
                <w:lang w:val="zh-CN" w:bidi="zh-CN"/>
                <w14:textFill>
                  <w14:solidFill>
                    <w14:schemeClr w14:val="tx1"/>
                  </w14:solidFill>
                </w14:textFill>
              </w:rPr>
            </w:pPr>
          </w:p>
        </w:tc>
        <w:tc>
          <w:tcPr>
            <w:tcW w:w="3250" w:type="dxa"/>
          </w:tcPr>
          <w:p w14:paraId="42419C17">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r>
      <w:tr w14:paraId="1C523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667" w:type="dxa"/>
            <w:vMerge w:val="continue"/>
            <w:tcBorders>
              <w:top w:val="nil"/>
            </w:tcBorders>
            <w:shd w:val="clear" w:color="auto" w:fill="E7E6E6"/>
          </w:tcPr>
          <w:p w14:paraId="7A09C315">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c>
          <w:tcPr>
            <w:tcW w:w="2823" w:type="dxa"/>
          </w:tcPr>
          <w:p w14:paraId="78E95F09">
            <w:pPr>
              <w:autoSpaceDE w:val="0"/>
              <w:autoSpaceDN w:val="0"/>
              <w:spacing w:before="14"/>
              <w:ind w:left="17"/>
              <w:jc w:val="center"/>
              <w:rPr>
                <w:rFonts w:ascii="宋体" w:hAnsi="宋体" w:eastAsia="宋体" w:cs="宋体"/>
                <w:color w:val="000000" w:themeColor="text1"/>
                <w:sz w:val="18"/>
                <w:szCs w:val="22"/>
                <w:lang w:val="zh-CN" w:bidi="zh-CN"/>
                <w14:textFill>
                  <w14:solidFill>
                    <w14:schemeClr w14:val="tx1"/>
                  </w14:solidFill>
                </w14:textFill>
              </w:rPr>
            </w:pPr>
            <w:r>
              <w:rPr>
                <w:rFonts w:ascii="宋体" w:hAnsi="宋体" w:eastAsia="宋体" w:cs="宋体"/>
                <w:color w:val="000000" w:themeColor="text1"/>
                <w:sz w:val="18"/>
                <w:szCs w:val="22"/>
                <w:lang w:val="zh-CN" w:bidi="zh-CN"/>
                <w14:textFill>
                  <w14:solidFill>
                    <w14:schemeClr w14:val="tx1"/>
                  </w14:solidFill>
                </w14:textFill>
              </w:rPr>
              <w:t>至</w:t>
            </w:r>
          </w:p>
        </w:tc>
        <w:tc>
          <w:tcPr>
            <w:tcW w:w="2196" w:type="dxa"/>
          </w:tcPr>
          <w:p w14:paraId="74E6B100">
            <w:pPr>
              <w:autoSpaceDE w:val="0"/>
              <w:autoSpaceDN w:val="0"/>
              <w:rPr>
                <w:rFonts w:ascii="Times New Roman" w:hAnsi="宋体" w:eastAsia="宋体" w:cs="宋体"/>
                <w:color w:val="000000" w:themeColor="text1"/>
                <w:sz w:val="20"/>
                <w:szCs w:val="22"/>
                <w:lang w:val="zh-CN" w:bidi="zh-CN"/>
                <w14:textFill>
                  <w14:solidFill>
                    <w14:schemeClr w14:val="tx1"/>
                  </w14:solidFill>
                </w14:textFill>
              </w:rPr>
            </w:pPr>
          </w:p>
        </w:tc>
        <w:tc>
          <w:tcPr>
            <w:tcW w:w="3250" w:type="dxa"/>
          </w:tcPr>
          <w:p w14:paraId="0E625F3F">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r>
      <w:tr w14:paraId="0B58E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667" w:type="dxa"/>
            <w:vMerge w:val="continue"/>
            <w:tcBorders>
              <w:top w:val="nil"/>
            </w:tcBorders>
            <w:shd w:val="clear" w:color="auto" w:fill="E7E6E6"/>
          </w:tcPr>
          <w:p w14:paraId="18F7C1C2">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c>
          <w:tcPr>
            <w:tcW w:w="8269" w:type="dxa"/>
            <w:gridSpan w:val="3"/>
            <w:shd w:val="clear" w:color="auto" w:fill="E7E6E6"/>
          </w:tcPr>
          <w:p w14:paraId="117021BB">
            <w:pPr>
              <w:autoSpaceDE w:val="0"/>
              <w:autoSpaceDN w:val="0"/>
              <w:spacing w:line="286" w:lineRule="exact"/>
              <w:ind w:left="3749" w:right="3743"/>
              <w:jc w:val="center"/>
              <w:rPr>
                <w:rFonts w:ascii="Microsoft JhengHei" w:hAnsi="宋体" w:eastAsia="Microsoft JhengHei" w:cs="宋体"/>
                <w:b/>
                <w:color w:val="000000" w:themeColor="text1"/>
                <w:sz w:val="18"/>
                <w:szCs w:val="22"/>
                <w:lang w:val="zh-CN" w:bidi="zh-CN"/>
                <w14:textFill>
                  <w14:solidFill>
                    <w14:schemeClr w14:val="tx1"/>
                  </w14:solidFill>
                </w14:textFill>
              </w:rPr>
            </w:pPr>
            <w:r>
              <w:rPr>
                <w:rFonts w:hint="eastAsia" w:ascii="Microsoft JhengHei" w:hAnsi="宋体" w:eastAsia="Microsoft JhengHei" w:cs="宋体"/>
                <w:b/>
                <w:color w:val="000000" w:themeColor="text1"/>
                <w:sz w:val="18"/>
                <w:szCs w:val="22"/>
                <w:lang w:val="zh-CN" w:bidi="zh-CN"/>
                <w14:textFill>
                  <w14:solidFill>
                    <w14:schemeClr w14:val="tx1"/>
                  </w14:solidFill>
                </w14:textFill>
              </w:rPr>
              <w:t>提成租金</w:t>
            </w:r>
          </w:p>
        </w:tc>
      </w:tr>
      <w:tr w14:paraId="3FC2E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67" w:type="dxa"/>
            <w:vMerge w:val="continue"/>
            <w:tcBorders>
              <w:top w:val="nil"/>
            </w:tcBorders>
            <w:shd w:val="clear" w:color="auto" w:fill="E7E6E6"/>
          </w:tcPr>
          <w:p w14:paraId="4AA28360">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c>
          <w:tcPr>
            <w:tcW w:w="2823" w:type="dxa"/>
            <w:vMerge w:val="restart"/>
            <w:shd w:val="clear" w:color="auto" w:fill="E7E6E6"/>
            <w:vAlign w:val="center"/>
          </w:tcPr>
          <w:p w14:paraId="5C28613B">
            <w:pPr>
              <w:autoSpaceDE w:val="0"/>
              <w:autoSpaceDN w:val="0"/>
              <w:ind w:right="438"/>
              <w:jc w:val="center"/>
              <w:rPr>
                <w:rFonts w:ascii="宋体" w:hAnsi="宋体" w:eastAsia="宋体" w:cs="宋体"/>
                <w:color w:val="000000" w:themeColor="text1"/>
                <w:sz w:val="18"/>
                <w:szCs w:val="22"/>
                <w:lang w:val="zh-CN" w:bidi="zh-CN"/>
                <w14:textFill>
                  <w14:solidFill>
                    <w14:schemeClr w14:val="tx1"/>
                  </w14:solidFill>
                </w14:textFill>
              </w:rPr>
            </w:pPr>
            <w:r>
              <w:rPr>
                <w:rFonts w:ascii="宋体" w:hAnsi="宋体" w:eastAsia="宋体" w:cs="宋体"/>
                <w:color w:val="000000" w:themeColor="text1"/>
                <w:sz w:val="18"/>
                <w:szCs w:val="22"/>
                <w:lang w:val="zh-CN" w:bidi="zh-CN"/>
                <w14:textFill>
                  <w14:solidFill>
                    <w14:schemeClr w14:val="tx1"/>
                  </w14:solidFill>
                </w14:textFill>
              </w:rPr>
              <w:t>期间</w:t>
            </w:r>
          </w:p>
        </w:tc>
        <w:tc>
          <w:tcPr>
            <w:tcW w:w="2196" w:type="dxa"/>
            <w:vMerge w:val="restart"/>
            <w:shd w:val="clear" w:color="auto" w:fill="E7E6E6"/>
          </w:tcPr>
          <w:p w14:paraId="373F600B">
            <w:pPr>
              <w:autoSpaceDE w:val="0"/>
              <w:autoSpaceDN w:val="0"/>
              <w:spacing w:before="10"/>
              <w:rPr>
                <w:rFonts w:ascii="宋体" w:hAnsi="宋体" w:eastAsia="宋体" w:cs="宋体"/>
                <w:color w:val="000000" w:themeColor="text1"/>
                <w:sz w:val="13"/>
                <w:szCs w:val="22"/>
                <w:lang w:val="zh-CN" w:bidi="zh-CN"/>
                <w14:textFill>
                  <w14:solidFill>
                    <w14:schemeClr w14:val="tx1"/>
                  </w14:solidFill>
                </w14:textFill>
              </w:rPr>
            </w:pPr>
          </w:p>
          <w:p w14:paraId="0A9A4707">
            <w:pPr>
              <w:autoSpaceDE w:val="0"/>
              <w:autoSpaceDN w:val="0"/>
              <w:ind w:left="151" w:right="144"/>
              <w:jc w:val="center"/>
              <w:rPr>
                <w:rFonts w:ascii="宋体" w:hAnsi="宋体" w:eastAsia="宋体" w:cs="宋体"/>
                <w:color w:val="000000" w:themeColor="text1"/>
                <w:sz w:val="18"/>
                <w:szCs w:val="22"/>
                <w:lang w:val="zh-CN" w:bidi="zh-CN"/>
                <w14:textFill>
                  <w14:solidFill>
                    <w14:schemeClr w14:val="tx1"/>
                  </w14:solidFill>
                </w14:textFill>
              </w:rPr>
            </w:pPr>
            <w:r>
              <w:rPr>
                <w:rFonts w:ascii="宋体" w:hAnsi="宋体" w:eastAsia="宋体" w:cs="宋体"/>
                <w:color w:val="000000" w:themeColor="text1"/>
                <w:sz w:val="18"/>
                <w:szCs w:val="22"/>
                <w:lang w:val="zh-CN" w:bidi="zh-CN"/>
                <w14:textFill>
                  <w14:solidFill>
                    <w14:schemeClr w14:val="tx1"/>
                  </w14:solidFill>
                </w14:textFill>
              </w:rPr>
              <w:t>营业额（元）</w:t>
            </w:r>
          </w:p>
        </w:tc>
        <w:tc>
          <w:tcPr>
            <w:tcW w:w="3250" w:type="dxa"/>
            <w:shd w:val="clear" w:color="auto" w:fill="E7E6E6"/>
          </w:tcPr>
          <w:p w14:paraId="2B4758C1">
            <w:pPr>
              <w:autoSpaceDE w:val="0"/>
              <w:autoSpaceDN w:val="0"/>
              <w:spacing w:before="16"/>
              <w:ind w:left="447"/>
              <w:jc w:val="center"/>
              <w:rPr>
                <w:rFonts w:ascii="Times New Roman" w:hAnsi="宋体" w:eastAsia="Times New Roman" w:cs="宋体"/>
                <w:color w:val="000000" w:themeColor="text1"/>
                <w:sz w:val="18"/>
                <w:szCs w:val="22"/>
                <w:lang w:val="zh-CN" w:bidi="zh-CN"/>
                <w14:textFill>
                  <w14:solidFill>
                    <w14:schemeClr w14:val="tx1"/>
                  </w14:solidFill>
                </w14:textFill>
              </w:rPr>
            </w:pPr>
            <w:r>
              <w:rPr>
                <w:rFonts w:ascii="宋体" w:hAnsi="宋体" w:eastAsia="宋体" w:cs="宋体"/>
                <w:color w:val="000000" w:themeColor="text1"/>
                <w:sz w:val="18"/>
                <w:szCs w:val="22"/>
                <w:lang w:val="zh-CN" w:bidi="zh-CN"/>
                <w14:textFill>
                  <w14:solidFill>
                    <w14:schemeClr w14:val="tx1"/>
                  </w14:solidFill>
                </w14:textFill>
              </w:rPr>
              <w:t>扣点</w:t>
            </w:r>
          </w:p>
        </w:tc>
      </w:tr>
      <w:tr w14:paraId="2A7C3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667" w:type="dxa"/>
            <w:vMerge w:val="continue"/>
            <w:tcBorders>
              <w:top w:val="nil"/>
            </w:tcBorders>
            <w:shd w:val="clear" w:color="auto" w:fill="E7E6E6"/>
          </w:tcPr>
          <w:p w14:paraId="584950DF">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c>
          <w:tcPr>
            <w:tcW w:w="2823" w:type="dxa"/>
            <w:vMerge w:val="continue"/>
            <w:tcBorders>
              <w:top w:val="nil"/>
            </w:tcBorders>
            <w:shd w:val="clear" w:color="auto" w:fill="E7E6E6"/>
          </w:tcPr>
          <w:p w14:paraId="05785B32">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c>
          <w:tcPr>
            <w:tcW w:w="2196" w:type="dxa"/>
            <w:vMerge w:val="continue"/>
            <w:tcBorders>
              <w:top w:val="nil"/>
            </w:tcBorders>
            <w:shd w:val="clear" w:color="auto" w:fill="E7E6E6"/>
          </w:tcPr>
          <w:p w14:paraId="626BE7EC">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c>
          <w:tcPr>
            <w:tcW w:w="3250" w:type="dxa"/>
            <w:shd w:val="clear" w:color="auto" w:fill="E7E6E6"/>
            <w:vAlign w:val="center"/>
          </w:tcPr>
          <w:p w14:paraId="4795288B">
            <w:pPr>
              <w:autoSpaceDE w:val="0"/>
              <w:autoSpaceDN w:val="0"/>
              <w:jc w:val="center"/>
              <w:rPr>
                <w:rFonts w:ascii="宋体" w:hAnsi="宋体" w:eastAsia="宋体" w:cs="宋体"/>
                <w:color w:val="000000" w:themeColor="text1"/>
                <w:kern w:val="0"/>
                <w:sz w:val="2"/>
                <w:szCs w:val="2"/>
                <w:lang w:val="zh-CN" w:bidi="zh-CN"/>
                <w14:textFill>
                  <w14:solidFill>
                    <w14:schemeClr w14:val="tx1"/>
                  </w14:solidFill>
                </w14:textFill>
              </w:rPr>
            </w:pPr>
            <w:r>
              <w:rPr>
                <w:rFonts w:ascii="宋体" w:hAnsi="宋体" w:eastAsia="宋体" w:cs="宋体"/>
                <w:color w:val="000000" w:themeColor="text1"/>
                <w:kern w:val="0"/>
                <w:sz w:val="18"/>
                <w:szCs w:val="22"/>
                <w:lang w:val="zh-CN" w:bidi="zh-CN"/>
                <w14:textFill>
                  <w14:solidFill>
                    <w14:schemeClr w14:val="tx1"/>
                  </w14:solidFill>
                </w14:textFill>
              </w:rPr>
              <w:t>营业额扣点（</w:t>
            </w:r>
            <w:r>
              <w:rPr>
                <w:rFonts w:ascii="Times New Roman" w:hAnsi="宋体" w:eastAsia="Times New Roman" w:cs="宋体"/>
                <w:color w:val="000000" w:themeColor="text1"/>
                <w:spacing w:val="-2"/>
                <w:kern w:val="0"/>
                <w:sz w:val="18"/>
                <w:szCs w:val="22"/>
                <w:lang w:val="zh-CN" w:bidi="zh-CN"/>
                <w14:textFill>
                  <w14:solidFill>
                    <w14:schemeClr w14:val="tx1"/>
                  </w14:solidFill>
                </w14:textFill>
              </w:rPr>
              <w:t>%</w:t>
            </w:r>
            <w:r>
              <w:rPr>
                <w:rFonts w:ascii="宋体" w:hAnsi="宋体" w:eastAsia="宋体" w:cs="宋体"/>
                <w:color w:val="000000" w:themeColor="text1"/>
                <w:spacing w:val="-92"/>
                <w:kern w:val="0"/>
                <w:sz w:val="18"/>
                <w:szCs w:val="22"/>
                <w:lang w:val="zh-CN" w:bidi="zh-CN"/>
                <w14:textFill>
                  <w14:solidFill>
                    <w14:schemeClr w14:val="tx1"/>
                  </w14:solidFill>
                </w14:textFill>
              </w:rPr>
              <w:t>）</w:t>
            </w:r>
          </w:p>
        </w:tc>
      </w:tr>
      <w:tr w14:paraId="34BC4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667" w:type="dxa"/>
            <w:vMerge w:val="continue"/>
            <w:tcBorders>
              <w:top w:val="nil"/>
            </w:tcBorders>
            <w:shd w:val="clear" w:color="auto" w:fill="E7E6E6"/>
          </w:tcPr>
          <w:p w14:paraId="5F0FAFD7">
            <w:pPr>
              <w:autoSpaceDE w:val="0"/>
              <w:autoSpaceDN w:val="0"/>
              <w:jc w:val="left"/>
              <w:rPr>
                <w:rFonts w:ascii="宋体" w:hAnsi="宋体" w:eastAsia="宋体" w:cs="宋体"/>
                <w:color w:val="000000" w:themeColor="text1"/>
                <w:kern w:val="0"/>
                <w:sz w:val="2"/>
                <w:szCs w:val="2"/>
                <w:lang w:val="zh-CN" w:bidi="zh-CN"/>
                <w14:textFill>
                  <w14:solidFill>
                    <w14:schemeClr w14:val="tx1"/>
                  </w14:solidFill>
                </w14:textFill>
              </w:rPr>
            </w:pPr>
          </w:p>
        </w:tc>
        <w:tc>
          <w:tcPr>
            <w:tcW w:w="2823" w:type="dxa"/>
          </w:tcPr>
          <w:p w14:paraId="033B6C2C">
            <w:pPr>
              <w:autoSpaceDE w:val="0"/>
              <w:autoSpaceDN w:val="0"/>
              <w:spacing w:before="14"/>
              <w:ind w:left="17"/>
              <w:jc w:val="center"/>
              <w:rPr>
                <w:rFonts w:ascii="宋体" w:hAnsi="宋体" w:eastAsia="宋体" w:cs="宋体"/>
                <w:color w:val="000000" w:themeColor="text1"/>
                <w:sz w:val="18"/>
                <w:szCs w:val="22"/>
                <w:lang w:val="zh-CN" w:bidi="zh-CN"/>
                <w14:textFill>
                  <w14:solidFill>
                    <w14:schemeClr w14:val="tx1"/>
                  </w14:solidFill>
                </w14:textFill>
              </w:rPr>
            </w:pPr>
            <w:r>
              <w:rPr>
                <w:rFonts w:ascii="宋体" w:hAnsi="宋体" w:eastAsia="宋体" w:cs="宋体"/>
                <w:color w:val="000000" w:themeColor="text1"/>
                <w:sz w:val="18"/>
                <w:szCs w:val="22"/>
                <w:lang w:val="zh-CN" w:bidi="zh-CN"/>
                <w14:textFill>
                  <w14:solidFill>
                    <w14:schemeClr w14:val="tx1"/>
                  </w14:solidFill>
                </w14:textFill>
              </w:rPr>
              <w:t>至</w:t>
            </w:r>
          </w:p>
        </w:tc>
        <w:tc>
          <w:tcPr>
            <w:tcW w:w="2196" w:type="dxa"/>
          </w:tcPr>
          <w:p w14:paraId="0A526506">
            <w:pPr>
              <w:autoSpaceDE w:val="0"/>
              <w:autoSpaceDN w:val="0"/>
              <w:spacing w:before="14"/>
              <w:ind w:left="14"/>
              <w:jc w:val="center"/>
              <w:rPr>
                <w:rFonts w:ascii="宋体" w:hAnsi="宋体" w:eastAsia="宋体" w:cs="宋体"/>
                <w:color w:val="000000" w:themeColor="text1"/>
                <w:sz w:val="18"/>
                <w:szCs w:val="22"/>
                <w:lang w:val="zh-CN" w:bidi="zh-CN"/>
                <w14:textFill>
                  <w14:solidFill>
                    <w14:schemeClr w14:val="tx1"/>
                  </w14:solidFill>
                </w14:textFill>
              </w:rPr>
            </w:pPr>
          </w:p>
        </w:tc>
        <w:tc>
          <w:tcPr>
            <w:tcW w:w="3250" w:type="dxa"/>
          </w:tcPr>
          <w:p w14:paraId="31442E7B">
            <w:pPr>
              <w:autoSpaceDE w:val="0"/>
              <w:autoSpaceDN w:val="0"/>
              <w:jc w:val="center"/>
              <w:rPr>
                <w:rFonts w:ascii="Times New Roman" w:hAnsi="宋体" w:eastAsia="宋体" w:cs="宋体"/>
                <w:color w:val="000000" w:themeColor="text1"/>
                <w:sz w:val="20"/>
                <w:szCs w:val="22"/>
                <w:lang w:val="zh-CN" w:bidi="zh-CN"/>
                <w14:textFill>
                  <w14:solidFill>
                    <w14:schemeClr w14:val="tx1"/>
                  </w14:solidFill>
                </w14:textFill>
              </w:rPr>
            </w:pPr>
          </w:p>
        </w:tc>
      </w:tr>
    </w:tbl>
    <w:p w14:paraId="68908D65">
      <w:pPr>
        <w:spacing w:line="400" w:lineRule="exact"/>
        <w:rPr>
          <w:rFonts w:ascii="宋体" w:hAnsi="宋体" w:eastAsia="宋体" w:cs="宋体"/>
          <w:color w:val="000000" w:themeColor="text1"/>
          <w:szCs w:val="21"/>
          <w14:textFill>
            <w14:solidFill>
              <w14:schemeClr w14:val="tx1"/>
            </w14:solidFill>
          </w14:textFill>
        </w:rPr>
      </w:pPr>
    </w:p>
    <w:p w14:paraId="03C07CDC">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28.2 自营业期开始，物管费以</w:t>
      </w:r>
      <w:r>
        <w:rPr>
          <w:rFonts w:hint="eastAsia" w:ascii="宋体" w:hAnsi="宋体" w:eastAsia="宋体" w:cs="宋体"/>
          <w:b/>
          <w:bCs/>
          <w:color w:val="000000" w:themeColor="text1"/>
          <w:szCs w:val="21"/>
          <w:u w:val="single"/>
          <w14:textFill>
            <w14:solidFill>
              <w14:schemeClr w14:val="tx1"/>
            </w14:solidFill>
          </w14:textFill>
        </w:rPr>
        <w:t xml:space="preserve">      个月</w:t>
      </w:r>
      <w:r>
        <w:rPr>
          <w:rFonts w:hint="eastAsia" w:ascii="宋体" w:hAnsi="宋体" w:eastAsia="宋体" w:cs="宋体"/>
          <w:color w:val="000000" w:themeColor="text1"/>
          <w:szCs w:val="21"/>
          <w14:textFill>
            <w14:solidFill>
              <w14:schemeClr w14:val="tx1"/>
            </w14:solidFill>
          </w14:textFill>
        </w:rPr>
        <w:t>为一个支付周期，乙方应按下表约定按时、足额支付物管费。物管费的支付方式和时间与租金一致。</w:t>
      </w:r>
    </w:p>
    <w:tbl>
      <w:tblPr>
        <w:tblStyle w:val="7"/>
        <w:tblpPr w:leftFromText="180" w:rightFromText="180" w:vertAnchor="text" w:horzAnchor="page" w:tblpX="1487" w:tblpY="5"/>
        <w:tblOverlap w:val="never"/>
        <w:tblW w:w="893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6"/>
        <w:gridCol w:w="2509"/>
        <w:gridCol w:w="1815"/>
        <w:gridCol w:w="1860"/>
        <w:gridCol w:w="2351"/>
      </w:tblGrid>
      <w:tr w14:paraId="403E2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96" w:type="dxa"/>
            <w:vMerge w:val="restart"/>
            <w:shd w:val="clear" w:color="auto" w:fill="E7E6E6"/>
          </w:tcPr>
          <w:p w14:paraId="49C30C14">
            <w:pPr>
              <w:pStyle w:val="11"/>
              <w:spacing w:before="6"/>
              <w:rPr>
                <w:color w:val="000000" w:themeColor="text1"/>
                <w:sz w:val="25"/>
                <w14:textFill>
                  <w14:solidFill>
                    <w14:schemeClr w14:val="tx1"/>
                  </w14:solidFill>
                </w14:textFill>
              </w:rPr>
            </w:pPr>
          </w:p>
          <w:p w14:paraId="04E404C8">
            <w:pPr>
              <w:pStyle w:val="11"/>
              <w:spacing w:before="1" w:line="324" w:lineRule="auto"/>
              <w:ind w:left="107" w:right="96"/>
              <w:jc w:val="center"/>
              <w:rPr>
                <w:color w:val="000000" w:themeColor="text1"/>
                <w:sz w:val="18"/>
                <w14:textFill>
                  <w14:solidFill>
                    <w14:schemeClr w14:val="tx1"/>
                  </w14:solidFill>
                </w14:textFill>
              </w:rPr>
            </w:pPr>
          </w:p>
          <w:p w14:paraId="09FB79E6">
            <w:pPr>
              <w:pStyle w:val="11"/>
              <w:spacing w:before="1" w:line="324" w:lineRule="auto"/>
              <w:ind w:left="107" w:right="96"/>
              <w:jc w:val="center"/>
              <w:rPr>
                <w:color w:val="000000" w:themeColor="text1"/>
                <w:sz w:val="18"/>
                <w14:textFill>
                  <w14:solidFill>
                    <w14:schemeClr w14:val="tx1"/>
                  </w14:solidFill>
                </w14:textFill>
              </w:rPr>
            </w:pPr>
          </w:p>
          <w:p w14:paraId="3682AFF0">
            <w:pPr>
              <w:pStyle w:val="11"/>
              <w:spacing w:before="1" w:line="324" w:lineRule="auto"/>
              <w:ind w:left="107" w:right="96"/>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物</w:t>
            </w:r>
          </w:p>
          <w:p w14:paraId="0E5AB967">
            <w:pPr>
              <w:pStyle w:val="11"/>
              <w:spacing w:before="1" w:line="324" w:lineRule="auto"/>
              <w:ind w:left="107" w:right="96"/>
              <w:jc w:val="center"/>
              <w:rPr>
                <w:color w:val="000000" w:themeColor="text1"/>
                <w:sz w:val="18"/>
                <w14:textFill>
                  <w14:solidFill>
                    <w14:schemeClr w14:val="tx1"/>
                  </w14:solidFill>
                </w14:textFill>
              </w:rPr>
            </w:pPr>
            <w:r>
              <w:rPr>
                <w:color w:val="000000" w:themeColor="text1"/>
                <w:sz w:val="18"/>
                <w14:textFill>
                  <w14:solidFill>
                    <w14:schemeClr w14:val="tx1"/>
                  </w14:solidFill>
                </w14:textFill>
              </w:rPr>
              <w:t>管费</w:t>
            </w:r>
          </w:p>
        </w:tc>
        <w:tc>
          <w:tcPr>
            <w:tcW w:w="2509" w:type="dxa"/>
            <w:vMerge w:val="restart"/>
            <w:shd w:val="clear" w:color="auto" w:fill="E7E6E6"/>
          </w:tcPr>
          <w:p w14:paraId="0616A6A8">
            <w:pPr>
              <w:pStyle w:val="11"/>
              <w:rPr>
                <w:color w:val="000000" w:themeColor="text1"/>
                <w:sz w:val="18"/>
                <w14:textFill>
                  <w14:solidFill>
                    <w14:schemeClr w14:val="tx1"/>
                  </w14:solidFill>
                </w14:textFill>
              </w:rPr>
            </w:pPr>
          </w:p>
          <w:p w14:paraId="430C5FB9">
            <w:pPr>
              <w:pStyle w:val="11"/>
              <w:ind w:right="438"/>
              <w:jc w:val="center"/>
              <w:rPr>
                <w:color w:val="000000" w:themeColor="text1"/>
                <w:sz w:val="18"/>
                <w14:textFill>
                  <w14:solidFill>
                    <w14:schemeClr w14:val="tx1"/>
                  </w14:solidFill>
                </w14:textFill>
              </w:rPr>
            </w:pPr>
            <w:r>
              <w:rPr>
                <w:color w:val="000000" w:themeColor="text1"/>
                <w:sz w:val="18"/>
                <w14:textFill>
                  <w14:solidFill>
                    <w14:schemeClr w14:val="tx1"/>
                  </w14:solidFill>
                </w14:textFill>
              </w:rPr>
              <w:t>期间</w:t>
            </w:r>
          </w:p>
        </w:tc>
        <w:tc>
          <w:tcPr>
            <w:tcW w:w="1815" w:type="dxa"/>
            <w:vMerge w:val="restart"/>
          </w:tcPr>
          <w:p w14:paraId="30392769">
            <w:pPr>
              <w:pStyle w:val="11"/>
              <w:spacing w:before="94" w:line="324" w:lineRule="auto"/>
              <w:ind w:left="177" w:right="166"/>
              <w:jc w:val="center"/>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物</w:t>
            </w:r>
            <w:r>
              <w:rPr>
                <w:color w:val="000000" w:themeColor="text1"/>
                <w:sz w:val="18"/>
                <w14:textFill>
                  <w14:solidFill>
                    <w14:schemeClr w14:val="tx1"/>
                  </w14:solidFill>
                </w14:textFill>
              </w:rPr>
              <w:t>管费单价</w:t>
            </w:r>
          </w:p>
          <w:p w14:paraId="1665098F">
            <w:pPr>
              <w:pStyle w:val="11"/>
              <w:spacing w:before="94" w:line="324" w:lineRule="auto"/>
              <w:ind w:left="177" w:right="166"/>
              <w:jc w:val="center"/>
              <w:rPr>
                <w:color w:val="000000" w:themeColor="text1"/>
                <w:sz w:val="18"/>
                <w14:textFill>
                  <w14:solidFill>
                    <w14:schemeClr w14:val="tx1"/>
                  </w14:solidFill>
                </w14:textFill>
              </w:rPr>
            </w:pPr>
            <w:r>
              <w:rPr>
                <w:color w:val="000000" w:themeColor="text1"/>
                <w:sz w:val="18"/>
                <w14:textFill>
                  <w14:solidFill>
                    <w14:schemeClr w14:val="tx1"/>
                  </w14:solidFill>
                </w14:textFill>
              </w:rPr>
              <w:t>（元</w:t>
            </w:r>
            <w:r>
              <w:rPr>
                <w:rFonts w:ascii="Times New Roman" w:eastAsia="Times New Roman"/>
                <w:color w:val="000000" w:themeColor="text1"/>
                <w:sz w:val="18"/>
                <w14:textFill>
                  <w14:solidFill>
                    <w14:schemeClr w14:val="tx1"/>
                  </w14:solidFill>
                </w14:textFill>
              </w:rPr>
              <w:t>/</w:t>
            </w:r>
            <w:r>
              <w:rPr>
                <w:color w:val="000000" w:themeColor="text1"/>
                <w:sz w:val="18"/>
                <w14:textFill>
                  <w14:solidFill>
                    <w14:schemeClr w14:val="tx1"/>
                  </w14:solidFill>
                </w14:textFill>
              </w:rPr>
              <w:t>㎡</w:t>
            </w:r>
            <w:r>
              <w:rPr>
                <w:rFonts w:ascii="Times New Roman" w:eastAsia="Times New Roman"/>
                <w:color w:val="000000" w:themeColor="text1"/>
                <w:sz w:val="18"/>
                <w14:textFill>
                  <w14:solidFill>
                    <w14:schemeClr w14:val="tx1"/>
                  </w14:solidFill>
                </w14:textFill>
              </w:rPr>
              <w:t xml:space="preserve">/ </w:t>
            </w:r>
            <w:r>
              <w:rPr>
                <w:color w:val="000000" w:themeColor="text1"/>
                <w:sz w:val="18"/>
                <w14:textFill>
                  <w14:solidFill>
                    <w14:schemeClr w14:val="tx1"/>
                  </w14:solidFill>
                </w14:textFill>
              </w:rPr>
              <w:t>月）</w:t>
            </w:r>
          </w:p>
        </w:tc>
        <w:tc>
          <w:tcPr>
            <w:tcW w:w="1860" w:type="dxa"/>
            <w:vMerge w:val="restart"/>
          </w:tcPr>
          <w:p w14:paraId="56284C69">
            <w:pPr>
              <w:pStyle w:val="11"/>
              <w:spacing w:before="94" w:line="324" w:lineRule="auto"/>
              <w:ind w:left="169" w:right="164"/>
              <w:jc w:val="center"/>
              <w:rPr>
                <w:color w:val="000000" w:themeColor="text1"/>
                <w:sz w:val="18"/>
                <w14:textFill>
                  <w14:solidFill>
                    <w14:schemeClr w14:val="tx1"/>
                  </w14:solidFill>
                </w14:textFill>
              </w:rPr>
            </w:pPr>
            <w:r>
              <w:rPr>
                <w:color w:val="000000" w:themeColor="text1"/>
                <w:sz w:val="18"/>
                <w14:textFill>
                  <w14:solidFill>
                    <w14:schemeClr w14:val="tx1"/>
                  </w14:solidFill>
                </w14:textFill>
              </w:rPr>
              <w:t>每年</w:t>
            </w:r>
            <w:r>
              <w:rPr>
                <w:rFonts w:hint="eastAsia"/>
                <w:color w:val="000000" w:themeColor="text1"/>
                <w:sz w:val="18"/>
                <w14:textFill>
                  <w14:solidFill>
                    <w14:schemeClr w14:val="tx1"/>
                  </w14:solidFill>
                </w14:textFill>
              </w:rPr>
              <w:t>物</w:t>
            </w:r>
            <w:r>
              <w:rPr>
                <w:color w:val="000000" w:themeColor="text1"/>
                <w:sz w:val="18"/>
                <w14:textFill>
                  <w14:solidFill>
                    <w14:schemeClr w14:val="tx1"/>
                  </w14:solidFill>
                </w14:textFill>
              </w:rPr>
              <w:t>管费总额</w:t>
            </w:r>
          </w:p>
          <w:p w14:paraId="2B926446">
            <w:pPr>
              <w:pStyle w:val="11"/>
              <w:spacing w:before="1"/>
              <w:ind w:left="163" w:right="158"/>
              <w:jc w:val="center"/>
              <w:rPr>
                <w:rFonts w:ascii="Times New Roman" w:eastAsia="Times New Roman"/>
                <w:color w:val="000000" w:themeColor="text1"/>
                <w:sz w:val="18"/>
                <w14:textFill>
                  <w14:solidFill>
                    <w14:schemeClr w14:val="tx1"/>
                  </w14:solidFill>
                </w14:textFill>
              </w:rPr>
            </w:pPr>
            <w:r>
              <w:rPr>
                <w:color w:val="000000" w:themeColor="text1"/>
                <w:sz w:val="18"/>
                <w14:textFill>
                  <w14:solidFill>
                    <w14:schemeClr w14:val="tx1"/>
                  </w14:solidFill>
                </w14:textFill>
              </w:rPr>
              <w:t>（元）</w:t>
            </w:r>
          </w:p>
        </w:tc>
        <w:tc>
          <w:tcPr>
            <w:tcW w:w="2351" w:type="dxa"/>
          </w:tcPr>
          <w:p w14:paraId="072406F3">
            <w:pPr>
              <w:pStyle w:val="11"/>
              <w:spacing w:before="89"/>
              <w:ind w:left="248"/>
              <w:jc w:val="center"/>
              <w:rPr>
                <w:color w:val="000000" w:themeColor="text1"/>
                <w:sz w:val="18"/>
                <w14:textFill>
                  <w14:solidFill>
                    <w14:schemeClr w14:val="tx1"/>
                  </w14:solidFill>
                </w14:textFill>
              </w:rPr>
            </w:pPr>
            <w:r>
              <w:rPr>
                <w:color w:val="000000" w:themeColor="text1"/>
                <w:sz w:val="18"/>
                <w14:textFill>
                  <w14:solidFill>
                    <w14:schemeClr w14:val="tx1"/>
                  </w14:solidFill>
                </w14:textFill>
              </w:rPr>
              <w:t>扣点</w:t>
            </w:r>
          </w:p>
        </w:tc>
      </w:tr>
      <w:tr w14:paraId="65B9F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396" w:type="dxa"/>
            <w:vMerge w:val="continue"/>
            <w:shd w:val="clear" w:color="auto" w:fill="E7E6E6"/>
          </w:tcPr>
          <w:p w14:paraId="2604AD65">
            <w:pPr>
              <w:rPr>
                <w:color w:val="000000" w:themeColor="text1"/>
                <w:sz w:val="2"/>
                <w:szCs w:val="2"/>
                <w14:textFill>
                  <w14:solidFill>
                    <w14:schemeClr w14:val="tx1"/>
                  </w14:solidFill>
                </w14:textFill>
              </w:rPr>
            </w:pPr>
          </w:p>
        </w:tc>
        <w:tc>
          <w:tcPr>
            <w:tcW w:w="2509" w:type="dxa"/>
            <w:vMerge w:val="continue"/>
            <w:tcBorders>
              <w:top w:val="nil"/>
            </w:tcBorders>
            <w:shd w:val="clear" w:color="auto" w:fill="E7E6E6"/>
          </w:tcPr>
          <w:p w14:paraId="374E4924">
            <w:pPr>
              <w:rPr>
                <w:color w:val="000000" w:themeColor="text1"/>
                <w:sz w:val="2"/>
                <w:szCs w:val="2"/>
                <w14:textFill>
                  <w14:solidFill>
                    <w14:schemeClr w14:val="tx1"/>
                  </w14:solidFill>
                </w14:textFill>
              </w:rPr>
            </w:pPr>
          </w:p>
        </w:tc>
        <w:tc>
          <w:tcPr>
            <w:tcW w:w="1815" w:type="dxa"/>
            <w:vMerge w:val="continue"/>
            <w:tcBorders>
              <w:top w:val="nil"/>
            </w:tcBorders>
          </w:tcPr>
          <w:p w14:paraId="32CCA360">
            <w:pPr>
              <w:rPr>
                <w:color w:val="000000" w:themeColor="text1"/>
                <w:sz w:val="2"/>
                <w:szCs w:val="2"/>
                <w14:textFill>
                  <w14:solidFill>
                    <w14:schemeClr w14:val="tx1"/>
                  </w14:solidFill>
                </w14:textFill>
              </w:rPr>
            </w:pPr>
          </w:p>
        </w:tc>
        <w:tc>
          <w:tcPr>
            <w:tcW w:w="1860" w:type="dxa"/>
            <w:vMerge w:val="continue"/>
          </w:tcPr>
          <w:p w14:paraId="12688EEC">
            <w:pPr>
              <w:rPr>
                <w:color w:val="000000" w:themeColor="text1"/>
                <w:sz w:val="2"/>
                <w:szCs w:val="2"/>
                <w14:textFill>
                  <w14:solidFill>
                    <w14:schemeClr w14:val="tx1"/>
                  </w14:solidFill>
                </w14:textFill>
              </w:rPr>
            </w:pPr>
          </w:p>
        </w:tc>
        <w:tc>
          <w:tcPr>
            <w:tcW w:w="2351" w:type="dxa"/>
          </w:tcPr>
          <w:p w14:paraId="260FE8E5">
            <w:pPr>
              <w:pStyle w:val="11"/>
              <w:spacing w:before="34"/>
              <w:ind w:left="157"/>
              <w:jc w:val="center"/>
              <w:rPr>
                <w:color w:val="000000" w:themeColor="text1"/>
                <w:sz w:val="18"/>
                <w14:textFill>
                  <w14:solidFill>
                    <w14:schemeClr w14:val="tx1"/>
                  </w14:solidFill>
                </w14:textFill>
              </w:rPr>
            </w:pPr>
            <w:r>
              <w:rPr>
                <w:color w:val="000000" w:themeColor="text1"/>
                <w:sz w:val="18"/>
                <w14:textFill>
                  <w14:solidFill>
                    <w14:schemeClr w14:val="tx1"/>
                  </w14:solidFill>
                </w14:textFill>
              </w:rPr>
              <w:t>营业额扣点（</w:t>
            </w:r>
            <w:r>
              <w:rPr>
                <w:rFonts w:ascii="Times New Roman" w:eastAsia="Times New Roman"/>
                <w:color w:val="000000" w:themeColor="text1"/>
                <w:spacing w:val="-2"/>
                <w:sz w:val="18"/>
                <w14:textFill>
                  <w14:solidFill>
                    <w14:schemeClr w14:val="tx1"/>
                  </w14:solidFill>
                </w14:textFill>
              </w:rPr>
              <w:t>%</w:t>
            </w:r>
            <w:r>
              <w:rPr>
                <w:color w:val="000000" w:themeColor="text1"/>
                <w:spacing w:val="-92"/>
                <w:sz w:val="18"/>
                <w14:textFill>
                  <w14:solidFill>
                    <w14:schemeClr w14:val="tx1"/>
                  </w14:solidFill>
                </w14:textFill>
              </w:rPr>
              <w:t>）</w:t>
            </w:r>
          </w:p>
        </w:tc>
      </w:tr>
      <w:tr w14:paraId="24F5F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96" w:type="dxa"/>
            <w:vMerge w:val="continue"/>
            <w:shd w:val="clear" w:color="auto" w:fill="E7E6E6"/>
          </w:tcPr>
          <w:p w14:paraId="3D6BE33D">
            <w:pPr>
              <w:rPr>
                <w:color w:val="000000" w:themeColor="text1"/>
                <w:sz w:val="2"/>
                <w:szCs w:val="2"/>
                <w14:textFill>
                  <w14:solidFill>
                    <w14:schemeClr w14:val="tx1"/>
                  </w14:solidFill>
                </w14:textFill>
              </w:rPr>
            </w:pPr>
          </w:p>
        </w:tc>
        <w:tc>
          <w:tcPr>
            <w:tcW w:w="2509" w:type="dxa"/>
          </w:tcPr>
          <w:p w14:paraId="742A5EE5">
            <w:pPr>
              <w:pStyle w:val="11"/>
              <w:spacing w:before="106"/>
              <w:ind w:left="16"/>
              <w:jc w:val="center"/>
              <w:rPr>
                <w:color w:val="000000" w:themeColor="text1"/>
                <w:sz w:val="18"/>
                <w14:textFill>
                  <w14:solidFill>
                    <w14:schemeClr w14:val="tx1"/>
                  </w14:solidFill>
                </w14:textFill>
              </w:rPr>
            </w:pPr>
            <w:r>
              <w:rPr>
                <w:color w:val="000000" w:themeColor="text1"/>
                <w:sz w:val="18"/>
                <w14:textFill>
                  <w14:solidFill>
                    <w14:schemeClr w14:val="tx1"/>
                  </w14:solidFill>
                </w14:textFill>
              </w:rPr>
              <w:t>至</w:t>
            </w:r>
          </w:p>
        </w:tc>
        <w:tc>
          <w:tcPr>
            <w:tcW w:w="1815" w:type="dxa"/>
          </w:tcPr>
          <w:p w14:paraId="03FD329F">
            <w:pPr>
              <w:pStyle w:val="11"/>
              <w:rPr>
                <w:rFonts w:ascii="Times New Roman"/>
                <w:color w:val="000000" w:themeColor="text1"/>
                <w:sz w:val="20"/>
                <w14:textFill>
                  <w14:solidFill>
                    <w14:schemeClr w14:val="tx1"/>
                  </w14:solidFill>
                </w14:textFill>
              </w:rPr>
            </w:pPr>
          </w:p>
        </w:tc>
        <w:tc>
          <w:tcPr>
            <w:tcW w:w="1860" w:type="dxa"/>
          </w:tcPr>
          <w:p w14:paraId="3B7E2913">
            <w:pPr>
              <w:pStyle w:val="11"/>
              <w:rPr>
                <w:rFonts w:ascii="Times New Roman"/>
                <w:color w:val="000000" w:themeColor="text1"/>
                <w:sz w:val="20"/>
                <w14:textFill>
                  <w14:solidFill>
                    <w14:schemeClr w14:val="tx1"/>
                  </w14:solidFill>
                </w14:textFill>
              </w:rPr>
            </w:pPr>
          </w:p>
        </w:tc>
        <w:tc>
          <w:tcPr>
            <w:tcW w:w="2351" w:type="dxa"/>
          </w:tcPr>
          <w:p w14:paraId="00D9A44B">
            <w:pPr>
              <w:pStyle w:val="11"/>
              <w:rPr>
                <w:rFonts w:ascii="Times New Roman"/>
                <w:color w:val="000000" w:themeColor="text1"/>
                <w:sz w:val="20"/>
                <w14:textFill>
                  <w14:solidFill>
                    <w14:schemeClr w14:val="tx1"/>
                  </w14:solidFill>
                </w14:textFill>
              </w:rPr>
            </w:pPr>
          </w:p>
        </w:tc>
      </w:tr>
      <w:tr w14:paraId="2CD35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396" w:type="dxa"/>
            <w:vMerge w:val="continue"/>
            <w:shd w:val="clear" w:color="auto" w:fill="E7E6E6"/>
          </w:tcPr>
          <w:p w14:paraId="07D18286">
            <w:pPr>
              <w:rPr>
                <w:color w:val="000000" w:themeColor="text1"/>
                <w:sz w:val="2"/>
                <w:szCs w:val="2"/>
                <w14:textFill>
                  <w14:solidFill>
                    <w14:schemeClr w14:val="tx1"/>
                  </w14:solidFill>
                </w14:textFill>
              </w:rPr>
            </w:pPr>
          </w:p>
        </w:tc>
        <w:tc>
          <w:tcPr>
            <w:tcW w:w="2509" w:type="dxa"/>
          </w:tcPr>
          <w:p w14:paraId="4AA26313">
            <w:pPr>
              <w:pStyle w:val="11"/>
              <w:spacing w:before="106"/>
              <w:ind w:left="16"/>
              <w:jc w:val="center"/>
              <w:rPr>
                <w:color w:val="000000" w:themeColor="text1"/>
                <w:sz w:val="18"/>
                <w14:textFill>
                  <w14:solidFill>
                    <w14:schemeClr w14:val="tx1"/>
                  </w14:solidFill>
                </w14:textFill>
              </w:rPr>
            </w:pPr>
            <w:r>
              <w:rPr>
                <w:color w:val="000000" w:themeColor="text1"/>
                <w:sz w:val="18"/>
                <w14:textFill>
                  <w14:solidFill>
                    <w14:schemeClr w14:val="tx1"/>
                  </w14:solidFill>
                </w14:textFill>
              </w:rPr>
              <w:t>至</w:t>
            </w:r>
          </w:p>
        </w:tc>
        <w:tc>
          <w:tcPr>
            <w:tcW w:w="1815" w:type="dxa"/>
          </w:tcPr>
          <w:p w14:paraId="623DDA5A">
            <w:pPr>
              <w:pStyle w:val="11"/>
              <w:rPr>
                <w:rFonts w:ascii="Times New Roman"/>
                <w:color w:val="000000" w:themeColor="text1"/>
                <w:sz w:val="20"/>
                <w14:textFill>
                  <w14:solidFill>
                    <w14:schemeClr w14:val="tx1"/>
                  </w14:solidFill>
                </w14:textFill>
              </w:rPr>
            </w:pPr>
          </w:p>
        </w:tc>
        <w:tc>
          <w:tcPr>
            <w:tcW w:w="1860" w:type="dxa"/>
          </w:tcPr>
          <w:p w14:paraId="0632F3F5">
            <w:pPr>
              <w:pStyle w:val="11"/>
              <w:rPr>
                <w:rFonts w:ascii="Times New Roman"/>
                <w:color w:val="000000" w:themeColor="text1"/>
                <w:sz w:val="20"/>
                <w14:textFill>
                  <w14:solidFill>
                    <w14:schemeClr w14:val="tx1"/>
                  </w14:solidFill>
                </w14:textFill>
              </w:rPr>
            </w:pPr>
          </w:p>
        </w:tc>
        <w:tc>
          <w:tcPr>
            <w:tcW w:w="2351" w:type="dxa"/>
          </w:tcPr>
          <w:p w14:paraId="2D6513DF">
            <w:pPr>
              <w:pStyle w:val="11"/>
              <w:rPr>
                <w:rFonts w:ascii="Times New Roman"/>
                <w:color w:val="000000" w:themeColor="text1"/>
                <w:sz w:val="20"/>
                <w14:textFill>
                  <w14:solidFill>
                    <w14:schemeClr w14:val="tx1"/>
                  </w14:solidFill>
                </w14:textFill>
              </w:rPr>
            </w:pPr>
          </w:p>
        </w:tc>
      </w:tr>
      <w:tr w14:paraId="0EAB8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396" w:type="dxa"/>
            <w:vMerge w:val="continue"/>
            <w:shd w:val="clear" w:color="auto" w:fill="E7E6E6"/>
          </w:tcPr>
          <w:p w14:paraId="08691D7F">
            <w:pPr>
              <w:rPr>
                <w:color w:val="000000" w:themeColor="text1"/>
                <w:sz w:val="2"/>
                <w:szCs w:val="2"/>
                <w14:textFill>
                  <w14:solidFill>
                    <w14:schemeClr w14:val="tx1"/>
                  </w14:solidFill>
                </w14:textFill>
              </w:rPr>
            </w:pPr>
          </w:p>
        </w:tc>
        <w:tc>
          <w:tcPr>
            <w:tcW w:w="2509" w:type="dxa"/>
          </w:tcPr>
          <w:p w14:paraId="0E1A4661">
            <w:pPr>
              <w:pStyle w:val="11"/>
              <w:spacing w:before="106"/>
              <w:ind w:left="16"/>
              <w:jc w:val="center"/>
              <w:rPr>
                <w:color w:val="000000" w:themeColor="text1"/>
                <w:sz w:val="18"/>
                <w14:textFill>
                  <w14:solidFill>
                    <w14:schemeClr w14:val="tx1"/>
                  </w14:solidFill>
                </w14:textFill>
              </w:rPr>
            </w:pPr>
            <w:r>
              <w:rPr>
                <w:color w:val="000000" w:themeColor="text1"/>
                <w:sz w:val="18"/>
                <w14:textFill>
                  <w14:solidFill>
                    <w14:schemeClr w14:val="tx1"/>
                  </w14:solidFill>
                </w14:textFill>
              </w:rPr>
              <w:t>至</w:t>
            </w:r>
          </w:p>
        </w:tc>
        <w:tc>
          <w:tcPr>
            <w:tcW w:w="1815" w:type="dxa"/>
          </w:tcPr>
          <w:p w14:paraId="7566ADC0">
            <w:pPr>
              <w:pStyle w:val="11"/>
              <w:rPr>
                <w:rFonts w:ascii="Times New Roman"/>
                <w:color w:val="000000" w:themeColor="text1"/>
                <w:sz w:val="20"/>
                <w14:textFill>
                  <w14:solidFill>
                    <w14:schemeClr w14:val="tx1"/>
                  </w14:solidFill>
                </w14:textFill>
              </w:rPr>
            </w:pPr>
          </w:p>
        </w:tc>
        <w:tc>
          <w:tcPr>
            <w:tcW w:w="1860" w:type="dxa"/>
          </w:tcPr>
          <w:p w14:paraId="2CBA8B6C">
            <w:pPr>
              <w:pStyle w:val="11"/>
              <w:rPr>
                <w:rFonts w:ascii="Times New Roman"/>
                <w:color w:val="000000" w:themeColor="text1"/>
                <w:sz w:val="20"/>
                <w14:textFill>
                  <w14:solidFill>
                    <w14:schemeClr w14:val="tx1"/>
                  </w14:solidFill>
                </w14:textFill>
              </w:rPr>
            </w:pPr>
          </w:p>
        </w:tc>
        <w:tc>
          <w:tcPr>
            <w:tcW w:w="2351" w:type="dxa"/>
          </w:tcPr>
          <w:p w14:paraId="19957F61">
            <w:pPr>
              <w:pStyle w:val="11"/>
              <w:rPr>
                <w:rFonts w:ascii="Times New Roman"/>
                <w:color w:val="000000" w:themeColor="text1"/>
                <w:sz w:val="20"/>
                <w14:textFill>
                  <w14:solidFill>
                    <w14:schemeClr w14:val="tx1"/>
                  </w14:solidFill>
                </w14:textFill>
              </w:rPr>
            </w:pPr>
          </w:p>
        </w:tc>
      </w:tr>
      <w:tr w14:paraId="0095D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96" w:type="dxa"/>
            <w:vMerge w:val="continue"/>
            <w:shd w:val="clear" w:color="auto" w:fill="E7E6E6"/>
          </w:tcPr>
          <w:p w14:paraId="1C37E5A9">
            <w:pPr>
              <w:rPr>
                <w:color w:val="000000" w:themeColor="text1"/>
                <w:sz w:val="2"/>
                <w:szCs w:val="2"/>
                <w14:textFill>
                  <w14:solidFill>
                    <w14:schemeClr w14:val="tx1"/>
                  </w14:solidFill>
                </w14:textFill>
              </w:rPr>
            </w:pPr>
          </w:p>
        </w:tc>
        <w:tc>
          <w:tcPr>
            <w:tcW w:w="2509" w:type="dxa"/>
          </w:tcPr>
          <w:p w14:paraId="65058D0C">
            <w:pPr>
              <w:pStyle w:val="11"/>
              <w:spacing w:before="106"/>
              <w:ind w:left="16"/>
              <w:jc w:val="center"/>
              <w:rPr>
                <w:color w:val="000000" w:themeColor="text1"/>
                <w:sz w:val="18"/>
                <w14:textFill>
                  <w14:solidFill>
                    <w14:schemeClr w14:val="tx1"/>
                  </w14:solidFill>
                </w14:textFill>
              </w:rPr>
            </w:pPr>
            <w:r>
              <w:rPr>
                <w:color w:val="000000" w:themeColor="text1"/>
                <w:sz w:val="18"/>
                <w14:textFill>
                  <w14:solidFill>
                    <w14:schemeClr w14:val="tx1"/>
                  </w14:solidFill>
                </w14:textFill>
              </w:rPr>
              <w:t>至</w:t>
            </w:r>
          </w:p>
        </w:tc>
        <w:tc>
          <w:tcPr>
            <w:tcW w:w="1815" w:type="dxa"/>
          </w:tcPr>
          <w:p w14:paraId="30888BFA">
            <w:pPr>
              <w:pStyle w:val="11"/>
              <w:rPr>
                <w:rFonts w:ascii="Times New Roman"/>
                <w:color w:val="000000" w:themeColor="text1"/>
                <w:sz w:val="20"/>
                <w14:textFill>
                  <w14:solidFill>
                    <w14:schemeClr w14:val="tx1"/>
                  </w14:solidFill>
                </w14:textFill>
              </w:rPr>
            </w:pPr>
          </w:p>
        </w:tc>
        <w:tc>
          <w:tcPr>
            <w:tcW w:w="1860" w:type="dxa"/>
          </w:tcPr>
          <w:p w14:paraId="780F4B3A">
            <w:pPr>
              <w:pStyle w:val="11"/>
              <w:rPr>
                <w:rFonts w:ascii="Times New Roman"/>
                <w:color w:val="000000" w:themeColor="text1"/>
                <w:sz w:val="20"/>
                <w14:textFill>
                  <w14:solidFill>
                    <w14:schemeClr w14:val="tx1"/>
                  </w14:solidFill>
                </w14:textFill>
              </w:rPr>
            </w:pPr>
          </w:p>
        </w:tc>
        <w:tc>
          <w:tcPr>
            <w:tcW w:w="2351" w:type="dxa"/>
          </w:tcPr>
          <w:p w14:paraId="09864E1B">
            <w:pPr>
              <w:pStyle w:val="11"/>
              <w:rPr>
                <w:rFonts w:ascii="Times New Roman"/>
                <w:color w:val="000000" w:themeColor="text1"/>
                <w:sz w:val="20"/>
                <w14:textFill>
                  <w14:solidFill>
                    <w14:schemeClr w14:val="tx1"/>
                  </w14:solidFill>
                </w14:textFill>
              </w:rPr>
            </w:pPr>
          </w:p>
        </w:tc>
      </w:tr>
      <w:tr w14:paraId="317ED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396" w:type="dxa"/>
            <w:vMerge w:val="continue"/>
            <w:shd w:val="clear" w:color="auto" w:fill="E7E6E6"/>
          </w:tcPr>
          <w:p w14:paraId="5A1174DF">
            <w:pPr>
              <w:rPr>
                <w:color w:val="000000" w:themeColor="text1"/>
                <w:sz w:val="2"/>
                <w:szCs w:val="2"/>
                <w14:textFill>
                  <w14:solidFill>
                    <w14:schemeClr w14:val="tx1"/>
                  </w14:solidFill>
                </w14:textFill>
              </w:rPr>
            </w:pPr>
          </w:p>
        </w:tc>
        <w:tc>
          <w:tcPr>
            <w:tcW w:w="2509" w:type="dxa"/>
          </w:tcPr>
          <w:p w14:paraId="0BF1C900">
            <w:pPr>
              <w:pStyle w:val="11"/>
              <w:spacing w:before="106"/>
              <w:ind w:left="16"/>
              <w:jc w:val="center"/>
              <w:rPr>
                <w:color w:val="000000" w:themeColor="text1"/>
                <w:sz w:val="18"/>
                <w14:textFill>
                  <w14:solidFill>
                    <w14:schemeClr w14:val="tx1"/>
                  </w14:solidFill>
                </w14:textFill>
              </w:rPr>
            </w:pPr>
            <w:r>
              <w:rPr>
                <w:color w:val="000000" w:themeColor="text1"/>
                <w:sz w:val="18"/>
                <w14:textFill>
                  <w14:solidFill>
                    <w14:schemeClr w14:val="tx1"/>
                  </w14:solidFill>
                </w14:textFill>
              </w:rPr>
              <w:t>至</w:t>
            </w:r>
          </w:p>
        </w:tc>
        <w:tc>
          <w:tcPr>
            <w:tcW w:w="1815" w:type="dxa"/>
          </w:tcPr>
          <w:p w14:paraId="1393C1B1">
            <w:pPr>
              <w:pStyle w:val="11"/>
              <w:rPr>
                <w:rFonts w:ascii="Times New Roman"/>
                <w:color w:val="000000" w:themeColor="text1"/>
                <w:sz w:val="20"/>
                <w14:textFill>
                  <w14:solidFill>
                    <w14:schemeClr w14:val="tx1"/>
                  </w14:solidFill>
                </w14:textFill>
              </w:rPr>
            </w:pPr>
          </w:p>
        </w:tc>
        <w:tc>
          <w:tcPr>
            <w:tcW w:w="1860" w:type="dxa"/>
          </w:tcPr>
          <w:p w14:paraId="3308937D">
            <w:pPr>
              <w:pStyle w:val="11"/>
              <w:rPr>
                <w:rFonts w:ascii="Times New Roman"/>
                <w:color w:val="000000" w:themeColor="text1"/>
                <w:sz w:val="20"/>
                <w14:textFill>
                  <w14:solidFill>
                    <w14:schemeClr w14:val="tx1"/>
                  </w14:solidFill>
                </w14:textFill>
              </w:rPr>
            </w:pPr>
          </w:p>
        </w:tc>
        <w:tc>
          <w:tcPr>
            <w:tcW w:w="2351" w:type="dxa"/>
          </w:tcPr>
          <w:p w14:paraId="5AB69E82">
            <w:pPr>
              <w:pStyle w:val="11"/>
              <w:rPr>
                <w:rFonts w:ascii="Times New Roman"/>
                <w:color w:val="000000" w:themeColor="text1"/>
                <w:sz w:val="20"/>
                <w14:textFill>
                  <w14:solidFill>
                    <w14:schemeClr w14:val="tx1"/>
                  </w14:solidFill>
                </w14:textFill>
              </w:rPr>
            </w:pPr>
          </w:p>
        </w:tc>
      </w:tr>
    </w:tbl>
    <w:p w14:paraId="715849FC">
      <w:pPr>
        <w:spacing w:line="400" w:lineRule="exact"/>
        <w:rPr>
          <w:rFonts w:ascii="宋体" w:hAnsi="宋体" w:eastAsia="宋体" w:cs="宋体"/>
          <w:color w:val="000000" w:themeColor="text1"/>
          <w:szCs w:val="21"/>
          <w14:textFill>
            <w14:solidFill>
              <w14:schemeClr w14:val="tx1"/>
            </w14:solidFill>
          </w14:textFill>
        </w:rPr>
      </w:pPr>
    </w:p>
    <w:p w14:paraId="2BFBCA0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28.3 自营业期开始，乙方同意缴纳广告费</w:t>
      </w:r>
      <w:r>
        <w:rPr>
          <w:rFonts w:hint="eastAsia" w:ascii="宋体" w:hAnsi="宋体" w:eastAsia="宋体" w:cs="宋体"/>
          <w:b/>
          <w:bCs/>
          <w:color w:val="000000" w:themeColor="text1"/>
          <w:szCs w:val="21"/>
          <w:u w:val="single"/>
          <w14:textFill>
            <w14:solidFill>
              <w14:schemeClr w14:val="tx1"/>
            </w14:solidFill>
          </w14:textFill>
        </w:rPr>
        <w:t xml:space="preserve">   xx   元/月</w:t>
      </w:r>
      <w:r>
        <w:rPr>
          <w:rFonts w:hint="eastAsia" w:ascii="宋体" w:hAnsi="宋体" w:eastAsia="宋体" w:cs="宋体"/>
          <w:color w:val="000000" w:themeColor="text1"/>
          <w:szCs w:val="21"/>
          <w14:textFill>
            <w14:solidFill>
              <w14:schemeClr w14:val="tx1"/>
            </w14:solidFill>
          </w14:textFill>
        </w:rPr>
        <w:t>，乙方应按约定按时、足额支付，广告费支付方式、时间与租金一致。</w:t>
      </w:r>
    </w:p>
    <w:p w14:paraId="1849FF17">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28.4 本合同项下乙方对甲方的所有付款，均以甲方如下指定账号收到的到账金额为准，任何汇款所需相关费用均由乙方支付。甲方指定的收款账号为：</w:t>
      </w:r>
    </w:p>
    <w:p w14:paraId="01488A73">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租费账号：</w:t>
      </w:r>
    </w:p>
    <w:p w14:paraId="5B67D2DB">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开户银行：中国银行股份有限公司金华市分行</w:t>
      </w:r>
    </w:p>
    <w:p w14:paraId="7538A321">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开户名称：金华市多湖里资产经营有限公司</w:t>
      </w:r>
    </w:p>
    <w:p w14:paraId="1603F34A">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银行账号：350680906837</w:t>
      </w:r>
    </w:p>
    <w:p w14:paraId="6B431B3F">
      <w:pPr>
        <w:spacing w:line="400" w:lineRule="exact"/>
        <w:rPr>
          <w:rFonts w:ascii="宋体" w:hAnsi="宋体" w:eastAsia="宋体" w:cs="宋体"/>
          <w:color w:val="000000" w:themeColor="text1"/>
          <w:szCs w:val="21"/>
          <w14:textFill>
            <w14:solidFill>
              <w14:schemeClr w14:val="tx1"/>
            </w14:solidFill>
          </w14:textFill>
        </w:rPr>
      </w:pPr>
    </w:p>
    <w:p w14:paraId="1A088FB6">
      <w:pPr>
        <w:spacing w:line="400" w:lineRule="exact"/>
        <w:rPr>
          <w:rFonts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保证金账号：</w:t>
      </w:r>
    </w:p>
    <w:p w14:paraId="76ADD67D">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开户银行：中国银行股份有限公司金华市分行</w:t>
      </w:r>
    </w:p>
    <w:p w14:paraId="07485431">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开户名称：金华市多湖里资产经营有限公司</w:t>
      </w:r>
    </w:p>
    <w:p w14:paraId="0314AE14">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银行账号：370180414959</w:t>
      </w:r>
    </w:p>
    <w:p w14:paraId="3238237B">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28.5 乙方将应付款项付至甲方收款账号后，甲方按乙方提供的如下开票信息开具增值税发票并发送至其发票接收邮箱：</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。开票信息或发票类型如需变更，乙方应提前10日书面通知甲方，否则相关损失由乙方自行承担。</w:t>
      </w:r>
    </w:p>
    <w:p w14:paraId="40C88140">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乙方纳税人识别号：</w:t>
      </w:r>
      <w:r>
        <w:rPr>
          <w:rFonts w:hint="eastAsia" w:ascii="宋体" w:hAnsi="宋体" w:eastAsia="宋体" w:cs="宋体"/>
          <w:color w:val="000000" w:themeColor="text1"/>
          <w:szCs w:val="21"/>
          <w:u w:val="single"/>
          <w14:textFill>
            <w14:solidFill>
              <w14:schemeClr w14:val="tx1"/>
            </w14:solidFill>
          </w14:textFill>
        </w:rPr>
        <w:t xml:space="preserve">                                      </w:t>
      </w:r>
    </w:p>
    <w:p w14:paraId="1055EC42">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乙方税务登记地址：</w:t>
      </w:r>
      <w:r>
        <w:rPr>
          <w:rFonts w:hint="eastAsia" w:ascii="宋体" w:hAnsi="宋体" w:eastAsia="宋体" w:cs="宋体"/>
          <w:color w:val="000000" w:themeColor="text1"/>
          <w:szCs w:val="21"/>
          <w:u w:val="single"/>
          <w14:textFill>
            <w14:solidFill>
              <w14:schemeClr w14:val="tx1"/>
            </w14:solidFill>
          </w14:textFill>
        </w:rPr>
        <w:t xml:space="preserve">                                      </w:t>
      </w:r>
    </w:p>
    <w:p w14:paraId="72659309">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乙方开户银行：</w:t>
      </w:r>
      <w:r>
        <w:rPr>
          <w:rFonts w:hint="eastAsia" w:ascii="宋体" w:hAnsi="宋体" w:eastAsia="宋体" w:cs="宋体"/>
          <w:color w:val="000000" w:themeColor="text1"/>
          <w:szCs w:val="21"/>
          <w:u w:val="single"/>
          <w14:textFill>
            <w14:solidFill>
              <w14:schemeClr w14:val="tx1"/>
            </w14:solidFill>
          </w14:textFill>
        </w:rPr>
        <w:t xml:space="preserve">                                          </w:t>
      </w:r>
    </w:p>
    <w:p w14:paraId="08836E0C">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乙方开户名称：</w:t>
      </w:r>
      <w:r>
        <w:rPr>
          <w:rFonts w:hint="eastAsia" w:ascii="宋体" w:hAnsi="宋体" w:eastAsia="宋体" w:cs="宋体"/>
          <w:color w:val="000000" w:themeColor="text1"/>
          <w:szCs w:val="21"/>
          <w:u w:val="single"/>
          <w14:textFill>
            <w14:solidFill>
              <w14:schemeClr w14:val="tx1"/>
            </w14:solidFill>
          </w14:textFill>
        </w:rPr>
        <w:t xml:space="preserve">                                          </w:t>
      </w:r>
    </w:p>
    <w:p w14:paraId="1B1CFEDD">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乙方银行账号：</w:t>
      </w:r>
      <w:r>
        <w:rPr>
          <w:rFonts w:hint="eastAsia" w:ascii="宋体" w:hAnsi="宋体" w:eastAsia="宋体" w:cs="宋体"/>
          <w:color w:val="000000" w:themeColor="text1"/>
          <w:szCs w:val="21"/>
          <w:u w:val="single"/>
          <w14:textFill>
            <w14:solidFill>
              <w14:schemeClr w14:val="tx1"/>
            </w14:solidFill>
          </w14:textFill>
        </w:rPr>
        <w:t xml:space="preserve">                                          </w:t>
      </w:r>
    </w:p>
    <w:p w14:paraId="1C670759">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乙方联系电话：</w:t>
      </w:r>
      <w:r>
        <w:rPr>
          <w:rFonts w:hint="eastAsia" w:ascii="宋体" w:hAnsi="宋体" w:eastAsia="宋体" w:cs="宋体"/>
          <w:color w:val="000000" w:themeColor="text1"/>
          <w:szCs w:val="21"/>
          <w:u w:val="single"/>
          <w14:textFill>
            <w14:solidFill>
              <w14:schemeClr w14:val="tx1"/>
            </w14:solidFill>
          </w14:textFill>
        </w:rPr>
        <w:t xml:space="preserve">                                          </w:t>
      </w:r>
    </w:p>
    <w:p w14:paraId="2BF45C59">
      <w:pPr>
        <w:spacing w:line="400" w:lineRule="exact"/>
        <w:rPr>
          <w:rFonts w:ascii="宋体" w:hAnsi="宋体" w:eastAsia="宋体" w:cs="宋体"/>
          <w:color w:val="000000" w:themeColor="text1"/>
          <w:szCs w:val="21"/>
          <w14:textFill>
            <w14:solidFill>
              <w14:schemeClr w14:val="tx1"/>
            </w14:solidFill>
          </w14:textFill>
        </w:rPr>
      </w:pPr>
    </w:p>
    <w:p w14:paraId="790D2E5A">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29、各类保证金</w:t>
      </w:r>
    </w:p>
    <w:p w14:paraId="7D18FA72">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甲乙双方约定，乙方应于本合同签订时，向甲方支付该商铺的保证金，其中履约保证金（含物业保证金）为</w:t>
      </w:r>
      <w:r>
        <w:rPr>
          <w:rFonts w:hint="eastAsia" w:ascii="宋体" w:hAnsi="宋体" w:eastAsia="宋体" w:cs="宋体"/>
          <w:b/>
          <w:bCs/>
          <w:color w:val="000000" w:themeColor="text1"/>
          <w:szCs w:val="21"/>
          <w:u w:val="single"/>
          <w14:textFill>
            <w14:solidFill>
              <w14:schemeClr w14:val="tx1"/>
            </w14:solidFill>
          </w14:textFill>
        </w:rPr>
        <w:t xml:space="preserve">       元</w:t>
      </w:r>
      <w:r>
        <w:rPr>
          <w:rFonts w:hint="eastAsia" w:ascii="宋体" w:hAnsi="宋体" w:eastAsia="宋体" w:cs="宋体"/>
          <w:color w:val="000000" w:themeColor="text1"/>
          <w:szCs w:val="21"/>
          <w14:textFill>
            <w14:solidFill>
              <w14:schemeClr w14:val="tx1"/>
            </w14:solidFill>
          </w14:textFill>
        </w:rPr>
        <w:t>、质量保证金</w:t>
      </w:r>
      <w:r>
        <w:rPr>
          <w:rFonts w:hint="eastAsia" w:ascii="宋体" w:hAnsi="宋体" w:eastAsia="宋体" w:cs="宋体"/>
          <w:b/>
          <w:bCs/>
          <w:color w:val="000000" w:themeColor="text1"/>
          <w:szCs w:val="21"/>
          <w:u w:val="single"/>
          <w14:textFill>
            <w14:solidFill>
              <w14:schemeClr w14:val="tx1"/>
            </w14:solidFill>
          </w14:textFill>
        </w:rPr>
        <w:t xml:space="preserve"> </w:t>
      </w:r>
      <w:r>
        <w:rPr>
          <w:rFonts w:hint="eastAsia" w:ascii="宋体" w:hAnsi="宋体" w:eastAsia="宋体" w:cs="宋体"/>
          <w:b/>
          <w:bCs/>
          <w:color w:val="000000" w:themeColor="text1"/>
          <w:szCs w:val="21"/>
          <w:u w:val="single"/>
          <w:lang w:val="en-US" w:eastAsia="zh-CN"/>
          <w14:textFill>
            <w14:solidFill>
              <w14:schemeClr w14:val="tx1"/>
            </w14:solidFill>
          </w14:textFill>
        </w:rPr>
        <w:t xml:space="preserve">    </w:t>
      </w:r>
      <w:r>
        <w:rPr>
          <w:rFonts w:hint="eastAsia" w:ascii="宋体" w:hAnsi="宋体" w:eastAsia="宋体" w:cs="宋体"/>
          <w:b/>
          <w:bCs/>
          <w:color w:val="000000" w:themeColor="text1"/>
          <w:szCs w:val="21"/>
          <w:u w:val="single"/>
          <w14:textFill>
            <w14:solidFill>
              <w14:schemeClr w14:val="tx1"/>
            </w14:solidFill>
          </w14:textFill>
        </w:rPr>
        <w:t xml:space="preserve"> 元</w:t>
      </w:r>
      <w:r>
        <w:rPr>
          <w:rFonts w:hint="eastAsia" w:ascii="宋体" w:hAnsi="宋体" w:eastAsia="宋体" w:cs="宋体"/>
          <w:color w:val="000000" w:themeColor="text1"/>
          <w:szCs w:val="21"/>
          <w14:textFill>
            <w14:solidFill>
              <w14:schemeClr w14:val="tx1"/>
            </w14:solidFill>
          </w14:textFill>
        </w:rPr>
        <w:t>、预付卡保证金</w:t>
      </w:r>
      <w:r>
        <w:rPr>
          <w:rFonts w:hint="eastAsia" w:ascii="宋体" w:hAnsi="宋体" w:eastAsia="宋体" w:cs="宋体"/>
          <w:b/>
          <w:bCs/>
          <w:color w:val="000000" w:themeColor="text1"/>
          <w:szCs w:val="21"/>
          <w:u w:val="single"/>
          <w14:textFill>
            <w14:solidFill>
              <w14:schemeClr w14:val="tx1"/>
            </w14:solidFill>
          </w14:textFill>
        </w:rPr>
        <w:t xml:space="preserve">       元</w:t>
      </w:r>
      <w:r>
        <w:rPr>
          <w:rFonts w:hint="eastAsia" w:ascii="宋体" w:hAnsi="宋体" w:eastAsia="宋体" w:cs="宋体"/>
          <w:color w:val="000000" w:themeColor="text1"/>
          <w:szCs w:val="21"/>
          <w14:textFill>
            <w14:solidFill>
              <w14:schemeClr w14:val="tx1"/>
            </w14:solidFill>
          </w14:textFill>
        </w:rPr>
        <w:t>。</w:t>
      </w:r>
    </w:p>
    <w:p w14:paraId="53252964">
      <w:pPr>
        <w:spacing w:line="400" w:lineRule="exact"/>
        <w:rPr>
          <w:rFonts w:ascii="宋体" w:hAnsi="宋体" w:eastAsia="宋体" w:cs="宋体"/>
          <w:color w:val="000000" w:themeColor="text1"/>
          <w:szCs w:val="21"/>
          <w14:textFill>
            <w14:solidFill>
              <w14:schemeClr w14:val="tx1"/>
            </w14:solidFill>
          </w14:textFill>
        </w:rPr>
      </w:pPr>
    </w:p>
    <w:p w14:paraId="61E052E3">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30、通知地址及联系方式</w:t>
      </w:r>
    </w:p>
    <w:tbl>
      <w:tblPr>
        <w:tblStyle w:val="8"/>
        <w:tblpPr w:leftFromText="180" w:rightFromText="180" w:vertAnchor="text" w:horzAnchor="page" w:tblpX="1601" w:tblpY="400"/>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6"/>
        <w:gridCol w:w="4366"/>
      </w:tblGrid>
      <w:tr w14:paraId="50F87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74" w:type="dxa"/>
            <w:tcBorders>
              <w:tl2br w:val="nil"/>
              <w:tr2bl w:val="nil"/>
            </w:tcBorders>
          </w:tcPr>
          <w:p w14:paraId="1556A34F">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甲  方：</w:t>
            </w:r>
            <w:r>
              <w:rPr>
                <w:rFonts w:hint="eastAsia" w:ascii="宋体" w:hAnsi="宋体" w:eastAsia="宋体" w:cs="宋体"/>
                <w:color w:val="000000" w:themeColor="text1"/>
                <w:szCs w:val="21"/>
                <w:u w:val="single"/>
                <w14:textFill>
                  <w14:solidFill>
                    <w14:schemeClr w14:val="tx1"/>
                  </w14:solidFill>
                </w14:textFill>
              </w:rPr>
              <w:t xml:space="preserve">                              </w:t>
            </w:r>
          </w:p>
        </w:tc>
        <w:tc>
          <w:tcPr>
            <w:tcW w:w="4474" w:type="dxa"/>
            <w:tcBorders>
              <w:tl2br w:val="nil"/>
              <w:tr2bl w:val="nil"/>
            </w:tcBorders>
          </w:tcPr>
          <w:p w14:paraId="2416DCCD">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乙方：</w:t>
            </w:r>
            <w:r>
              <w:rPr>
                <w:rFonts w:hint="eastAsia" w:ascii="宋体" w:hAnsi="宋体" w:eastAsia="宋体" w:cs="宋体"/>
                <w:color w:val="000000" w:themeColor="text1"/>
                <w:szCs w:val="21"/>
                <w:u w:val="single"/>
                <w14:textFill>
                  <w14:solidFill>
                    <w14:schemeClr w14:val="tx1"/>
                  </w14:solidFill>
                </w14:textFill>
              </w:rPr>
              <w:t xml:space="preserve">                                </w:t>
            </w:r>
          </w:p>
        </w:tc>
      </w:tr>
      <w:tr w14:paraId="00150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4474" w:type="dxa"/>
            <w:tcBorders>
              <w:tl2br w:val="nil"/>
              <w:tr2bl w:val="nil"/>
            </w:tcBorders>
          </w:tcPr>
          <w:p w14:paraId="477D8897">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收件人：</w:t>
            </w:r>
            <w:r>
              <w:rPr>
                <w:rFonts w:hint="eastAsia" w:ascii="宋体" w:hAnsi="宋体" w:eastAsia="宋体" w:cs="宋体"/>
                <w:color w:val="000000" w:themeColor="text1"/>
                <w:szCs w:val="21"/>
                <w:u w:val="single"/>
                <w14:textFill>
                  <w14:solidFill>
                    <w14:schemeClr w14:val="tx1"/>
                  </w14:solidFill>
                </w14:textFill>
              </w:rPr>
              <w:t xml:space="preserve">                              </w:t>
            </w:r>
          </w:p>
        </w:tc>
        <w:tc>
          <w:tcPr>
            <w:tcW w:w="4474" w:type="dxa"/>
            <w:tcBorders>
              <w:tl2br w:val="nil"/>
              <w:tr2bl w:val="nil"/>
            </w:tcBorders>
          </w:tcPr>
          <w:p w14:paraId="06ECAF37">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收件人：</w:t>
            </w:r>
            <w:r>
              <w:rPr>
                <w:rFonts w:hint="eastAsia" w:ascii="宋体" w:hAnsi="宋体" w:eastAsia="宋体" w:cs="宋体"/>
                <w:color w:val="000000" w:themeColor="text1"/>
                <w:szCs w:val="21"/>
                <w:u w:val="single"/>
                <w14:textFill>
                  <w14:solidFill>
                    <w14:schemeClr w14:val="tx1"/>
                  </w14:solidFill>
                </w14:textFill>
              </w:rPr>
              <w:t xml:space="preserve">                              </w:t>
            </w:r>
          </w:p>
        </w:tc>
      </w:tr>
      <w:tr w14:paraId="65749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74" w:type="dxa"/>
            <w:tcBorders>
              <w:tl2br w:val="nil"/>
              <w:tr2bl w:val="nil"/>
            </w:tcBorders>
          </w:tcPr>
          <w:p w14:paraId="00168654">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电子邮箱：</w:t>
            </w:r>
            <w:r>
              <w:rPr>
                <w:rFonts w:hint="eastAsia" w:ascii="宋体" w:hAnsi="宋体" w:eastAsia="宋体" w:cs="宋体"/>
                <w:color w:val="000000" w:themeColor="text1"/>
                <w:szCs w:val="21"/>
                <w:u w:val="single"/>
                <w14:textFill>
                  <w14:solidFill>
                    <w14:schemeClr w14:val="tx1"/>
                  </w14:solidFill>
                </w14:textFill>
              </w:rPr>
              <w:t xml:space="preserve">                            </w:t>
            </w:r>
          </w:p>
        </w:tc>
        <w:tc>
          <w:tcPr>
            <w:tcW w:w="4474" w:type="dxa"/>
            <w:tcBorders>
              <w:tl2br w:val="nil"/>
              <w:tr2bl w:val="nil"/>
            </w:tcBorders>
          </w:tcPr>
          <w:p w14:paraId="47623629">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电子邮箱：</w:t>
            </w:r>
            <w:r>
              <w:rPr>
                <w:rFonts w:hint="eastAsia" w:ascii="宋体" w:hAnsi="宋体" w:eastAsia="宋体" w:cs="宋体"/>
                <w:color w:val="000000" w:themeColor="text1"/>
                <w:szCs w:val="21"/>
                <w:u w:val="single"/>
                <w14:textFill>
                  <w14:solidFill>
                    <w14:schemeClr w14:val="tx1"/>
                  </w14:solidFill>
                </w14:textFill>
              </w:rPr>
              <w:t xml:space="preserve">                            </w:t>
            </w:r>
          </w:p>
        </w:tc>
      </w:tr>
      <w:tr w14:paraId="73746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74" w:type="dxa"/>
            <w:tcBorders>
              <w:tl2br w:val="nil"/>
              <w:tr2bl w:val="nil"/>
            </w:tcBorders>
          </w:tcPr>
          <w:p w14:paraId="5A2C491D">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地址：</w:t>
            </w:r>
            <w:r>
              <w:rPr>
                <w:rFonts w:hint="eastAsia" w:ascii="宋体" w:hAnsi="宋体" w:eastAsia="宋体" w:cs="宋体"/>
                <w:color w:val="000000" w:themeColor="text1"/>
                <w:szCs w:val="21"/>
                <w:u w:val="single"/>
                <w14:textFill>
                  <w14:solidFill>
                    <w14:schemeClr w14:val="tx1"/>
                  </w14:solidFill>
                </w14:textFill>
              </w:rPr>
              <w:t xml:space="preserve">                                </w:t>
            </w:r>
          </w:p>
        </w:tc>
        <w:tc>
          <w:tcPr>
            <w:tcW w:w="4474" w:type="dxa"/>
            <w:tcBorders>
              <w:tl2br w:val="nil"/>
              <w:tr2bl w:val="nil"/>
            </w:tcBorders>
          </w:tcPr>
          <w:p w14:paraId="51679BCF">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地址：</w:t>
            </w:r>
            <w:r>
              <w:rPr>
                <w:rFonts w:hint="eastAsia" w:ascii="宋体" w:hAnsi="宋体" w:eastAsia="宋体" w:cs="宋体"/>
                <w:color w:val="000000" w:themeColor="text1"/>
                <w:szCs w:val="21"/>
                <w:u w:val="single"/>
                <w14:textFill>
                  <w14:solidFill>
                    <w14:schemeClr w14:val="tx1"/>
                  </w14:solidFill>
                </w14:textFill>
              </w:rPr>
              <w:t xml:space="preserve">                                </w:t>
            </w:r>
          </w:p>
          <w:p w14:paraId="2B9811DC">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w:t>
            </w:r>
            <w:r>
              <w:rPr>
                <w:rFonts w:hint="eastAsia" w:ascii="宋体" w:hAnsi="宋体" w:eastAsia="宋体" w:cs="宋体"/>
                <w:color w:val="000000" w:themeColor="text1"/>
                <w:szCs w:val="21"/>
                <w:u w:val="single"/>
                <w14:textFill>
                  <w14:solidFill>
                    <w14:schemeClr w14:val="tx1"/>
                  </w14:solidFill>
                </w14:textFill>
              </w:rPr>
              <w:t xml:space="preserve">                                </w:t>
            </w:r>
          </w:p>
        </w:tc>
      </w:tr>
      <w:tr w14:paraId="02ED9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74" w:type="dxa"/>
            <w:tcBorders>
              <w:tl2br w:val="nil"/>
              <w:tr2bl w:val="nil"/>
            </w:tcBorders>
          </w:tcPr>
          <w:p w14:paraId="012307AD">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电话：</w:t>
            </w:r>
            <w:r>
              <w:rPr>
                <w:rFonts w:hint="eastAsia" w:ascii="宋体" w:hAnsi="宋体" w:eastAsia="宋体" w:cs="宋体"/>
                <w:color w:val="000000" w:themeColor="text1"/>
                <w:szCs w:val="21"/>
                <w:u w:val="single"/>
                <w14:textFill>
                  <w14:solidFill>
                    <w14:schemeClr w14:val="tx1"/>
                  </w14:solidFill>
                </w14:textFill>
              </w:rPr>
              <w:t xml:space="preserve">                                </w:t>
            </w:r>
          </w:p>
        </w:tc>
        <w:tc>
          <w:tcPr>
            <w:tcW w:w="4474" w:type="dxa"/>
            <w:tcBorders>
              <w:tl2br w:val="nil"/>
              <w:tr2bl w:val="nil"/>
            </w:tcBorders>
          </w:tcPr>
          <w:p w14:paraId="0DBEBFE2">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电话：</w:t>
            </w:r>
            <w:r>
              <w:rPr>
                <w:rFonts w:hint="eastAsia" w:ascii="宋体" w:hAnsi="宋体" w:eastAsia="宋体" w:cs="宋体"/>
                <w:color w:val="000000" w:themeColor="text1"/>
                <w:szCs w:val="21"/>
                <w:u w:val="single"/>
                <w14:textFill>
                  <w14:solidFill>
                    <w14:schemeClr w14:val="tx1"/>
                  </w14:solidFill>
                </w14:textFill>
              </w:rPr>
              <w:t xml:space="preserve">                                </w:t>
            </w:r>
          </w:p>
        </w:tc>
      </w:tr>
    </w:tbl>
    <w:p w14:paraId="2CD336E9">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除另外约定外，本合同当事人之间发出的任何通知或联络应以书面形式按下述地址发出：</w:t>
      </w:r>
    </w:p>
    <w:p w14:paraId="15C91EFC">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或者按照接收一方向发出一方所最新通知的其他地址或电子邮箱发出。</w:t>
      </w:r>
    </w:p>
    <w:p w14:paraId="7E99638F">
      <w:pPr>
        <w:spacing w:line="400" w:lineRule="exact"/>
        <w:rPr>
          <w:rFonts w:ascii="宋体" w:hAnsi="宋体" w:eastAsia="宋体" w:cs="宋体"/>
          <w:color w:val="000000" w:themeColor="text1"/>
          <w:szCs w:val="21"/>
          <w14:textFill>
            <w14:solidFill>
              <w14:schemeClr w14:val="tx1"/>
            </w14:solidFill>
          </w14:textFill>
        </w:rPr>
      </w:pPr>
    </w:p>
    <w:p w14:paraId="5E40F99A">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31、其他约定</w:t>
      </w:r>
    </w:p>
    <w:p w14:paraId="36ED1C0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31.1 本合同一式叁份，经双方签字或盖章后生效。甲方执贰份，乙方执壹份，各份文本具有同等法律效力。</w:t>
      </w:r>
    </w:p>
    <w:p w14:paraId="12F213A7">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31.2 租赁期内，乙方应每</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年对该商铺的装修和设施更新一次。</w:t>
      </w:r>
    </w:p>
    <w:p w14:paraId="1937EDF7">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31.3 乙方违反本合同第17.5款约定，甲方有权要求乙方按人民币</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u w:val="single"/>
          <w:lang w:val="en-US" w:eastAsia="zh-CN"/>
          <w14:textFill>
            <w14:solidFill>
              <w14:schemeClr w14:val="tx1"/>
            </w14:solidFill>
          </w14:textFill>
        </w:rPr>
        <w:t xml:space="preserve">   </w:t>
      </w:r>
      <w:bookmarkStart w:id="0" w:name="_GoBack"/>
      <w:bookmarkEnd w:id="0"/>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元/日的标准向甲方支付违约金，甲方有权直接自履约保证金中扣除该违约金。且乙方在向甲方承担相应违约责任后仍应按本合同约定为该商铺购买相应保险。</w:t>
      </w:r>
    </w:p>
    <w:p w14:paraId="0F8A5B4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31.4 经甲乙双方协商确定达成如下约定：</w:t>
      </w:r>
    </w:p>
    <w:p w14:paraId="7C6A5199">
      <w:pPr>
        <w:spacing w:line="400" w:lineRule="exact"/>
        <w:rPr>
          <w:rFonts w:ascii="宋体" w:hAnsi="宋体" w:eastAsia="宋体" w:cs="宋体"/>
          <w:color w:val="000000" w:themeColor="text1"/>
          <w:szCs w:val="21"/>
          <w14:textFill>
            <w14:solidFill>
              <w14:schemeClr w14:val="tx1"/>
            </w14:solidFill>
          </w14:textFill>
        </w:rPr>
      </w:pPr>
    </w:p>
    <w:p w14:paraId="27263B73">
      <w:pPr>
        <w:spacing w:line="48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32、附件清单：</w:t>
      </w:r>
    </w:p>
    <w:p w14:paraId="3DEC795A">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32.1 商铺位置示意图 </w:t>
      </w:r>
    </w:p>
    <w:p w14:paraId="0C3AB33A">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32.2 乙方提供资料清单</w:t>
      </w:r>
    </w:p>
    <w:p w14:paraId="27F4CA50">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32.3 商铺工程技术条件确认表     </w:t>
      </w:r>
    </w:p>
    <w:p w14:paraId="4E7A83CF">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32.4 预付卡管理协议</w:t>
      </w:r>
    </w:p>
    <w:p w14:paraId="78FF69AE">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32.5 消防安全责任书</w:t>
      </w:r>
    </w:p>
    <w:p w14:paraId="77F3B65E">
      <w:pPr>
        <w:spacing w:line="400" w:lineRule="exact"/>
        <w:ind w:firstLine="420" w:firstLineChars="200"/>
        <w:rPr>
          <w:rFonts w:hint="default"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32.6廉政协议</w:t>
      </w:r>
    </w:p>
    <w:p w14:paraId="03A97848">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w:t>
      </w:r>
    </w:p>
    <w:p w14:paraId="02DD0C9F">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w:t>
      </w:r>
    </w:p>
    <w:p w14:paraId="4F04857D">
      <w:pPr>
        <w:spacing w:line="400" w:lineRule="exact"/>
        <w:rPr>
          <w:rFonts w:ascii="宋体" w:hAnsi="宋体" w:eastAsia="宋体" w:cs="宋体"/>
          <w:color w:val="000000" w:themeColor="text1"/>
          <w:szCs w:val="21"/>
          <w14:textFill>
            <w14:solidFill>
              <w14:schemeClr w14:val="tx1"/>
            </w14:solidFill>
          </w14:textFill>
        </w:rPr>
      </w:pPr>
    </w:p>
    <w:p w14:paraId="7ACCD9C0">
      <w:pPr>
        <w:spacing w:line="400" w:lineRule="exact"/>
        <w:rPr>
          <w:rFonts w:hint="eastAsia" w:ascii="宋体" w:hAnsi="宋体" w:eastAsia="宋体" w:cs="宋体"/>
          <w:color w:val="000000" w:themeColor="text1"/>
          <w:szCs w:val="21"/>
          <w14:textFill>
            <w14:solidFill>
              <w14:schemeClr w14:val="tx1"/>
            </w14:solidFill>
          </w14:textFill>
        </w:rPr>
      </w:pPr>
    </w:p>
    <w:p w14:paraId="5282DCEB">
      <w:pPr>
        <w:spacing w:line="400" w:lineRule="exact"/>
        <w:rPr>
          <w:rFonts w:hint="eastAsia" w:ascii="宋体" w:hAnsi="宋体" w:eastAsia="宋体" w:cs="宋体"/>
          <w:color w:val="000000" w:themeColor="text1"/>
          <w:szCs w:val="21"/>
          <w14:textFill>
            <w14:solidFill>
              <w14:schemeClr w14:val="tx1"/>
            </w14:solidFill>
          </w14:textFill>
        </w:rPr>
      </w:pPr>
    </w:p>
    <w:p w14:paraId="5D21ABA0">
      <w:pPr>
        <w:spacing w:line="400" w:lineRule="exact"/>
        <w:rPr>
          <w:rFonts w:hint="eastAsia" w:ascii="宋体" w:hAnsi="宋体" w:eastAsia="宋体" w:cs="宋体"/>
          <w:color w:val="000000" w:themeColor="text1"/>
          <w:szCs w:val="21"/>
          <w14:textFill>
            <w14:solidFill>
              <w14:schemeClr w14:val="tx1"/>
            </w14:solidFill>
          </w14:textFill>
        </w:rPr>
      </w:pPr>
    </w:p>
    <w:p w14:paraId="1E7E0026">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出租方（甲方）：金华市多湖里资产经营有限公司</w:t>
      </w:r>
    </w:p>
    <w:p w14:paraId="439FAAAA">
      <w:pPr>
        <w:spacing w:line="400" w:lineRule="exact"/>
        <w:rPr>
          <w:rFonts w:ascii="宋体" w:hAnsi="宋体" w:eastAsia="宋体" w:cs="宋体"/>
          <w:color w:val="000000" w:themeColor="text1"/>
          <w:szCs w:val="21"/>
          <w14:textFill>
            <w14:solidFill>
              <w14:schemeClr w14:val="tx1"/>
            </w14:solidFill>
          </w14:textFill>
        </w:rPr>
      </w:pPr>
    </w:p>
    <w:p w14:paraId="1F0AFCD8">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法  人（签字）：</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 xml:space="preserve">                            </w:t>
      </w:r>
    </w:p>
    <w:p w14:paraId="15E5DD2B">
      <w:pPr>
        <w:spacing w:line="400" w:lineRule="exact"/>
        <w:rPr>
          <w:rFonts w:ascii="宋体" w:hAnsi="宋体" w:eastAsia="宋体" w:cs="宋体"/>
          <w:color w:val="000000" w:themeColor="text1"/>
          <w:szCs w:val="21"/>
          <w14:textFill>
            <w14:solidFill>
              <w14:schemeClr w14:val="tx1"/>
            </w14:solidFill>
          </w14:textFill>
        </w:rPr>
      </w:pPr>
    </w:p>
    <w:p w14:paraId="05A74B74">
      <w:pPr>
        <w:spacing w:line="400" w:lineRule="exact"/>
        <w:rPr>
          <w:rFonts w:ascii="宋体" w:hAnsi="宋体" w:eastAsia="宋体" w:cs="宋体"/>
          <w:color w:val="000000" w:themeColor="text1"/>
          <w:szCs w:val="21"/>
          <w14:textFill>
            <w14:solidFill>
              <w14:schemeClr w14:val="tx1"/>
            </w14:solidFill>
          </w14:textFill>
        </w:rPr>
      </w:pPr>
    </w:p>
    <w:p w14:paraId="43C7BFC4">
      <w:pPr>
        <w:spacing w:line="400" w:lineRule="exact"/>
        <w:rPr>
          <w:rFonts w:ascii="宋体" w:hAnsi="宋体" w:eastAsia="宋体" w:cs="宋体"/>
          <w:color w:val="000000" w:themeColor="text1"/>
          <w:szCs w:val="21"/>
          <w14:textFill>
            <w14:solidFill>
              <w14:schemeClr w14:val="tx1"/>
            </w14:solidFill>
          </w14:textFill>
        </w:rPr>
      </w:pPr>
    </w:p>
    <w:p w14:paraId="0A3AD2CF">
      <w:pPr>
        <w:spacing w:line="400" w:lineRule="exact"/>
        <w:rPr>
          <w:rFonts w:ascii="宋体" w:hAnsi="宋体" w:eastAsia="宋体" w:cs="宋体"/>
          <w:color w:val="000000" w:themeColor="text1"/>
          <w:szCs w:val="21"/>
          <w14:textFill>
            <w14:solidFill>
              <w14:schemeClr w14:val="tx1"/>
            </w14:solidFill>
          </w14:textFill>
        </w:rPr>
      </w:pPr>
    </w:p>
    <w:p w14:paraId="6052A4E5">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承租方（乙方）：</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 xml:space="preserve">                            </w:t>
      </w:r>
    </w:p>
    <w:p w14:paraId="68C797D0">
      <w:pPr>
        <w:spacing w:line="400" w:lineRule="exact"/>
        <w:rPr>
          <w:rFonts w:ascii="宋体" w:hAnsi="宋体" w:eastAsia="宋体" w:cs="宋体"/>
          <w:color w:val="000000" w:themeColor="text1"/>
          <w:szCs w:val="21"/>
          <w14:textFill>
            <w14:solidFill>
              <w14:schemeClr w14:val="tx1"/>
            </w14:solidFill>
          </w14:textFill>
        </w:rPr>
      </w:pPr>
    </w:p>
    <w:p w14:paraId="73CFE2A2">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法  人（签字）：</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 xml:space="preserve">                            </w:t>
      </w:r>
    </w:p>
    <w:p w14:paraId="4DE6767F">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w:t>
      </w:r>
    </w:p>
    <w:p w14:paraId="2C578F96">
      <w:pPr>
        <w:spacing w:line="400" w:lineRule="exact"/>
        <w:rPr>
          <w:rFonts w:ascii="宋体" w:hAnsi="宋体" w:eastAsia="宋体" w:cs="宋体"/>
          <w:color w:val="000000" w:themeColor="text1"/>
          <w:szCs w:val="21"/>
          <w14:textFill>
            <w14:solidFill>
              <w14:schemeClr w14:val="tx1"/>
            </w14:solidFill>
          </w14:textFill>
        </w:rPr>
      </w:pPr>
    </w:p>
    <w:p w14:paraId="7FA14B15">
      <w:pPr>
        <w:spacing w:line="400" w:lineRule="exact"/>
        <w:rPr>
          <w:rFonts w:ascii="宋体" w:hAnsi="宋体" w:eastAsia="宋体" w:cs="宋体"/>
          <w:color w:val="000000" w:themeColor="text1"/>
          <w:szCs w:val="21"/>
          <w14:textFill>
            <w14:solidFill>
              <w14:schemeClr w14:val="tx1"/>
            </w14:solidFill>
          </w14:textFill>
        </w:rPr>
      </w:pPr>
    </w:p>
    <w:p w14:paraId="2A0E5E4B">
      <w:pPr>
        <w:spacing w:line="400" w:lineRule="exact"/>
        <w:rPr>
          <w:rFonts w:ascii="宋体" w:hAnsi="宋体" w:eastAsia="宋体" w:cs="宋体"/>
          <w:color w:val="000000" w:themeColor="text1"/>
          <w:szCs w:val="21"/>
          <w14:textFill>
            <w14:solidFill>
              <w14:schemeClr w14:val="tx1"/>
            </w14:solidFill>
          </w14:textFill>
        </w:rPr>
      </w:pPr>
    </w:p>
    <w:p w14:paraId="51C5D1C5">
      <w:pPr>
        <w:spacing w:line="400" w:lineRule="exact"/>
        <w:rPr>
          <w:rFonts w:ascii="宋体" w:hAnsi="宋体" w:eastAsia="宋体" w:cs="宋体"/>
          <w:color w:val="000000" w:themeColor="text1"/>
          <w:szCs w:val="21"/>
          <w14:textFill>
            <w14:solidFill>
              <w14:schemeClr w14:val="tx1"/>
            </w14:solidFill>
          </w14:textFill>
        </w:rPr>
      </w:pPr>
    </w:p>
    <w:p w14:paraId="26398D5E">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签署日期：</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年</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月</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日</w:t>
      </w:r>
    </w:p>
    <w:p w14:paraId="17895C09">
      <w:pP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br w:type="page"/>
      </w:r>
    </w:p>
    <w:p w14:paraId="69205132">
      <w:pPr>
        <w:rPr>
          <w:rFonts w:ascii="宋体" w:hAnsi="宋体" w:eastAsia="宋体" w:cs="宋体"/>
          <w:color w:val="000000" w:themeColor="text1"/>
          <w:szCs w:val="21"/>
          <w14:textFill>
            <w14:solidFill>
              <w14:schemeClr w14:val="tx1"/>
            </w14:solidFill>
          </w14:textFill>
        </w:rPr>
      </w:pPr>
    </w:p>
    <w:p w14:paraId="29D985D2">
      <w:pPr>
        <w:spacing w:line="400" w:lineRule="exact"/>
        <w:rPr>
          <w:rFonts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 xml:space="preserve">附件1  商铺位置示意图 </w:t>
      </w:r>
    </w:p>
    <w:p w14:paraId="0BCEDC9C">
      <w:pP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br w:type="page"/>
      </w:r>
    </w:p>
    <w:p w14:paraId="025A21B7">
      <w:pPr>
        <w:spacing w:line="400" w:lineRule="exact"/>
        <w:rPr>
          <w:rFonts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附件2  乙方提供资料清单</w:t>
      </w:r>
    </w:p>
    <w:p w14:paraId="1F7CDB81">
      <w:pPr>
        <w:spacing w:line="400" w:lineRule="exact"/>
        <w:rPr>
          <w:rFonts w:ascii="宋体" w:hAnsi="宋体" w:eastAsia="宋体" w:cs="宋体"/>
          <w:color w:val="000000" w:themeColor="text1"/>
          <w:szCs w:val="21"/>
          <w14:textFill>
            <w14:solidFill>
              <w14:schemeClr w14:val="tx1"/>
            </w14:solidFill>
          </w14:textFill>
        </w:rPr>
      </w:pPr>
    </w:p>
    <w:p w14:paraId="004E7247">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1.营业执照/身份证复印件（盖章版）</w:t>
      </w:r>
    </w:p>
    <w:p w14:paraId="6ECD6441">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2.品牌授权文件</w:t>
      </w:r>
    </w:p>
    <w:p w14:paraId="2D91753C">
      <w:pP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br w:type="page"/>
      </w:r>
    </w:p>
    <w:p w14:paraId="3346AFAB">
      <w:pPr>
        <w:spacing w:line="400" w:lineRule="exact"/>
        <w:rPr>
          <w:rFonts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附件3  商铺工程技术条件确认表</w:t>
      </w:r>
    </w:p>
    <w:tbl>
      <w:tblPr>
        <w:tblStyle w:val="7"/>
        <w:tblpPr w:leftFromText="180" w:rightFromText="180" w:vertAnchor="page" w:horzAnchor="margin" w:tblpXSpec="center" w:tblpY="265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13"/>
        <w:gridCol w:w="1947"/>
        <w:gridCol w:w="3706"/>
        <w:gridCol w:w="1394"/>
      </w:tblGrid>
      <w:tr w14:paraId="2EA6FF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213" w:type="dxa"/>
            <w:vMerge w:val="restart"/>
            <w:tcBorders>
              <w:top w:val="single" w:color="auto" w:sz="12" w:space="0"/>
              <w:left w:val="single" w:color="auto" w:sz="12" w:space="0"/>
              <w:bottom w:val="single" w:color="auto" w:sz="12" w:space="0"/>
              <w:right w:val="single" w:color="auto" w:sz="6" w:space="0"/>
            </w:tcBorders>
            <w:vAlign w:val="center"/>
          </w:tcPr>
          <w:p w14:paraId="7E5214FA">
            <w:pPr>
              <w:tabs>
                <w:tab w:val="left" w:pos="960"/>
              </w:tabs>
              <w:autoSpaceDE w:val="0"/>
              <w:autoSpaceDN w:val="0"/>
              <w:spacing w:line="280" w:lineRule="exact"/>
              <w:jc w:val="center"/>
              <w:rPr>
                <w:rFonts w:ascii="等线" w:hAnsi="等线" w:eastAsia="等线" w:cs="Times New Roman"/>
                <w:b/>
                <w:color w:val="000000" w:themeColor="text1"/>
                <w:sz w:val="18"/>
                <w:szCs w:val="18"/>
                <w:lang w:val="zh-CN" w:bidi="zh-CN"/>
                <w14:textFill>
                  <w14:solidFill>
                    <w14:schemeClr w14:val="tx1"/>
                  </w14:solidFill>
                </w14:textFill>
              </w:rPr>
            </w:pPr>
            <w:r>
              <w:rPr>
                <w:rFonts w:hint="eastAsia" w:ascii="等线" w:hAnsi="等线" w:eastAsia="等线" w:cs="宋体"/>
                <w:b/>
                <w:color w:val="000000" w:themeColor="text1"/>
                <w:kern w:val="0"/>
                <w:sz w:val="18"/>
                <w:szCs w:val="18"/>
                <w:lang w:val="zh-CN" w:bidi="zh-CN"/>
                <w14:textFill>
                  <w14:solidFill>
                    <w14:schemeClr w14:val="tx1"/>
                  </w14:solidFill>
                </w14:textFill>
              </w:rPr>
              <w:t>分类</w:t>
            </w:r>
          </w:p>
        </w:tc>
        <w:tc>
          <w:tcPr>
            <w:tcW w:w="1947" w:type="dxa"/>
            <w:vMerge w:val="restart"/>
            <w:tcBorders>
              <w:top w:val="single" w:color="auto" w:sz="12" w:space="0"/>
              <w:left w:val="single" w:color="auto" w:sz="6" w:space="0"/>
              <w:bottom w:val="single" w:color="auto" w:sz="12" w:space="0"/>
              <w:right w:val="single" w:color="auto" w:sz="6" w:space="0"/>
            </w:tcBorders>
            <w:vAlign w:val="center"/>
          </w:tcPr>
          <w:p w14:paraId="1BE9EA8A">
            <w:pPr>
              <w:tabs>
                <w:tab w:val="left" w:pos="960"/>
              </w:tabs>
              <w:autoSpaceDE w:val="0"/>
              <w:autoSpaceDN w:val="0"/>
              <w:spacing w:line="280" w:lineRule="exact"/>
              <w:jc w:val="center"/>
              <w:rPr>
                <w:rFonts w:ascii="等线" w:hAnsi="等线" w:eastAsia="等线" w:cs="Times New Roman"/>
                <w:b/>
                <w:color w:val="000000" w:themeColor="text1"/>
                <w:sz w:val="18"/>
                <w:szCs w:val="18"/>
                <w:lang w:val="zh-CN" w:bidi="zh-CN"/>
                <w14:textFill>
                  <w14:solidFill>
                    <w14:schemeClr w14:val="tx1"/>
                  </w14:solidFill>
                </w14:textFill>
              </w:rPr>
            </w:pPr>
            <w:r>
              <w:rPr>
                <w:rFonts w:hint="eastAsia" w:ascii="等线" w:hAnsi="等线" w:eastAsia="等线" w:cs="宋体"/>
                <w:b/>
                <w:color w:val="000000" w:themeColor="text1"/>
                <w:kern w:val="0"/>
                <w:sz w:val="18"/>
                <w:szCs w:val="18"/>
                <w:lang w:val="zh-CN" w:bidi="zh-CN"/>
                <w14:textFill>
                  <w14:solidFill>
                    <w14:schemeClr w14:val="tx1"/>
                  </w14:solidFill>
                </w14:textFill>
              </w:rPr>
              <w:t>项目</w:t>
            </w:r>
          </w:p>
        </w:tc>
        <w:tc>
          <w:tcPr>
            <w:tcW w:w="3706" w:type="dxa"/>
            <w:vMerge w:val="restart"/>
            <w:tcBorders>
              <w:top w:val="single" w:color="auto" w:sz="12" w:space="0"/>
              <w:left w:val="single" w:color="auto" w:sz="6" w:space="0"/>
              <w:bottom w:val="single" w:color="auto" w:sz="12" w:space="0"/>
              <w:right w:val="single" w:color="auto" w:sz="6" w:space="0"/>
            </w:tcBorders>
            <w:vAlign w:val="center"/>
          </w:tcPr>
          <w:p w14:paraId="18E26A12">
            <w:pPr>
              <w:tabs>
                <w:tab w:val="left" w:pos="960"/>
              </w:tabs>
              <w:autoSpaceDE w:val="0"/>
              <w:autoSpaceDN w:val="0"/>
              <w:spacing w:line="280" w:lineRule="exact"/>
              <w:jc w:val="center"/>
              <w:rPr>
                <w:rFonts w:ascii="等线" w:hAnsi="等线" w:eastAsia="等线" w:cs="Times New Roman"/>
                <w:b/>
                <w:color w:val="000000" w:themeColor="text1"/>
                <w:sz w:val="18"/>
                <w:szCs w:val="18"/>
                <w:lang w:val="zh-CN" w:bidi="zh-CN"/>
                <w14:textFill>
                  <w14:solidFill>
                    <w14:schemeClr w14:val="tx1"/>
                  </w14:solidFill>
                </w14:textFill>
              </w:rPr>
            </w:pPr>
            <w:r>
              <w:rPr>
                <w:rFonts w:hint="eastAsia" w:ascii="等线" w:hAnsi="等线" w:eastAsia="等线" w:cs="宋体"/>
                <w:b/>
                <w:color w:val="000000" w:themeColor="text1"/>
                <w:kern w:val="0"/>
                <w:sz w:val="18"/>
                <w:szCs w:val="18"/>
                <w:lang w:val="zh-CN" w:bidi="zh-CN"/>
                <w14:textFill>
                  <w14:solidFill>
                    <w14:schemeClr w14:val="tx1"/>
                  </w14:solidFill>
                </w14:textFill>
              </w:rPr>
              <w:t>内容</w:t>
            </w:r>
          </w:p>
        </w:tc>
        <w:tc>
          <w:tcPr>
            <w:tcW w:w="1394" w:type="dxa"/>
            <w:vMerge w:val="restart"/>
            <w:tcBorders>
              <w:top w:val="single" w:color="auto" w:sz="12" w:space="0"/>
              <w:left w:val="single" w:color="auto" w:sz="6" w:space="0"/>
              <w:bottom w:val="single" w:color="auto" w:sz="12" w:space="0"/>
              <w:right w:val="single" w:color="auto" w:sz="12" w:space="0"/>
            </w:tcBorders>
            <w:vAlign w:val="center"/>
          </w:tcPr>
          <w:p w14:paraId="69C48E6C">
            <w:pPr>
              <w:tabs>
                <w:tab w:val="left" w:pos="960"/>
              </w:tabs>
              <w:autoSpaceDE w:val="0"/>
              <w:autoSpaceDN w:val="0"/>
              <w:spacing w:line="280" w:lineRule="exact"/>
              <w:jc w:val="center"/>
              <w:rPr>
                <w:rFonts w:ascii="等线" w:hAnsi="等线" w:eastAsia="等线" w:cs="Times New Roman"/>
                <w:b/>
                <w:color w:val="000000" w:themeColor="text1"/>
                <w:sz w:val="18"/>
                <w:szCs w:val="18"/>
                <w:lang w:val="zh-CN" w:bidi="zh-CN"/>
                <w14:textFill>
                  <w14:solidFill>
                    <w14:schemeClr w14:val="tx1"/>
                  </w14:solidFill>
                </w14:textFill>
              </w:rPr>
            </w:pPr>
            <w:r>
              <w:rPr>
                <w:rFonts w:hint="eastAsia" w:ascii="等线" w:hAnsi="等线" w:eastAsia="等线" w:cs="宋体"/>
                <w:b/>
                <w:color w:val="000000" w:themeColor="text1"/>
                <w:kern w:val="0"/>
                <w:sz w:val="18"/>
                <w:szCs w:val="18"/>
                <w:lang w:val="zh-CN" w:bidi="zh-CN"/>
                <w14:textFill>
                  <w14:solidFill>
                    <w14:schemeClr w14:val="tx1"/>
                  </w14:solidFill>
                </w14:textFill>
              </w:rPr>
              <w:t>备注</w:t>
            </w:r>
          </w:p>
        </w:tc>
      </w:tr>
      <w:tr w14:paraId="38EBFA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213" w:type="dxa"/>
            <w:vMerge w:val="continue"/>
            <w:tcBorders>
              <w:top w:val="single" w:color="auto" w:sz="12" w:space="0"/>
              <w:left w:val="single" w:color="auto" w:sz="12" w:space="0"/>
              <w:bottom w:val="single" w:color="auto" w:sz="12" w:space="0"/>
              <w:right w:val="single" w:color="auto" w:sz="6" w:space="0"/>
            </w:tcBorders>
            <w:vAlign w:val="center"/>
          </w:tcPr>
          <w:p w14:paraId="0035499E">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vMerge w:val="continue"/>
            <w:tcBorders>
              <w:top w:val="single" w:color="auto" w:sz="12" w:space="0"/>
              <w:left w:val="single" w:color="auto" w:sz="6" w:space="0"/>
              <w:bottom w:val="single" w:color="auto" w:sz="12" w:space="0"/>
              <w:right w:val="single" w:color="auto" w:sz="6" w:space="0"/>
            </w:tcBorders>
            <w:vAlign w:val="center"/>
          </w:tcPr>
          <w:p w14:paraId="1604F23A">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3706" w:type="dxa"/>
            <w:vMerge w:val="continue"/>
            <w:tcBorders>
              <w:top w:val="single" w:color="auto" w:sz="12" w:space="0"/>
              <w:left w:val="single" w:color="auto" w:sz="6" w:space="0"/>
              <w:bottom w:val="single" w:color="auto" w:sz="12" w:space="0"/>
              <w:right w:val="single" w:color="auto" w:sz="6" w:space="0"/>
            </w:tcBorders>
            <w:vAlign w:val="center"/>
          </w:tcPr>
          <w:p w14:paraId="2A9C9018">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394" w:type="dxa"/>
            <w:vMerge w:val="continue"/>
            <w:tcBorders>
              <w:top w:val="single" w:color="auto" w:sz="12" w:space="0"/>
              <w:left w:val="single" w:color="auto" w:sz="6" w:space="0"/>
              <w:bottom w:val="single" w:color="auto" w:sz="12" w:space="0"/>
              <w:right w:val="single" w:color="auto" w:sz="12" w:space="0"/>
            </w:tcBorders>
            <w:vAlign w:val="center"/>
          </w:tcPr>
          <w:p w14:paraId="730C12E6">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r>
      <w:tr w14:paraId="2D949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3" w:hRule="atLeast"/>
        </w:trPr>
        <w:tc>
          <w:tcPr>
            <w:tcW w:w="1213" w:type="dxa"/>
            <w:vMerge w:val="restart"/>
            <w:tcBorders>
              <w:top w:val="single" w:color="auto" w:sz="12" w:space="0"/>
              <w:left w:val="single" w:color="auto" w:sz="12" w:space="0"/>
              <w:bottom w:val="single" w:color="auto" w:sz="6" w:space="0"/>
              <w:right w:val="single" w:color="auto" w:sz="6" w:space="0"/>
            </w:tcBorders>
            <w:vAlign w:val="center"/>
          </w:tcPr>
          <w:p w14:paraId="186C99A2">
            <w:pPr>
              <w:tabs>
                <w:tab w:val="left" w:pos="960"/>
              </w:tabs>
              <w:autoSpaceDE w:val="0"/>
              <w:autoSpaceDN w:val="0"/>
              <w:spacing w:line="280" w:lineRule="exact"/>
              <w:jc w:val="center"/>
              <w:rPr>
                <w:rFonts w:ascii="等线" w:hAnsi="等线" w:eastAsia="等线" w:cs="Times New Roman"/>
                <w:b/>
                <w:color w:val="000000" w:themeColor="text1"/>
                <w:sz w:val="18"/>
                <w:szCs w:val="18"/>
                <w:lang w:val="zh-CN" w:bidi="zh-CN"/>
                <w14:textFill>
                  <w14:solidFill>
                    <w14:schemeClr w14:val="tx1"/>
                  </w14:solidFill>
                </w14:textFill>
              </w:rPr>
            </w:pPr>
            <w:r>
              <w:rPr>
                <w:rFonts w:hint="eastAsia" w:ascii="等线" w:hAnsi="等线" w:eastAsia="等线" w:cs="宋体"/>
                <w:b/>
                <w:color w:val="000000" w:themeColor="text1"/>
                <w:kern w:val="0"/>
                <w:sz w:val="18"/>
                <w:szCs w:val="18"/>
                <w:lang w:val="zh-CN" w:bidi="zh-CN"/>
                <w14:textFill>
                  <w14:solidFill>
                    <w14:schemeClr w14:val="tx1"/>
                  </w14:solidFill>
                </w14:textFill>
              </w:rPr>
              <w:t>土建、结构</w:t>
            </w:r>
          </w:p>
        </w:tc>
        <w:tc>
          <w:tcPr>
            <w:tcW w:w="1947" w:type="dxa"/>
            <w:tcBorders>
              <w:top w:val="single" w:color="auto" w:sz="12" w:space="0"/>
              <w:left w:val="single" w:color="auto" w:sz="6" w:space="0"/>
              <w:bottom w:val="single" w:color="auto" w:sz="6" w:space="0"/>
              <w:right w:val="single" w:color="auto" w:sz="6" w:space="0"/>
            </w:tcBorders>
          </w:tcPr>
          <w:p w14:paraId="7EA4405D">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外墙、窗</w:t>
            </w:r>
          </w:p>
        </w:tc>
        <w:tc>
          <w:tcPr>
            <w:tcW w:w="3706" w:type="dxa"/>
            <w:tcBorders>
              <w:top w:val="single" w:color="auto" w:sz="12" w:space="0"/>
              <w:left w:val="single" w:color="auto" w:sz="6" w:space="0"/>
              <w:bottom w:val="single" w:color="auto" w:sz="6" w:space="0"/>
              <w:right w:val="single" w:color="auto" w:sz="6" w:space="0"/>
            </w:tcBorders>
          </w:tcPr>
          <w:p w14:paraId="59E81824">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根据竣工现状</w:t>
            </w:r>
          </w:p>
        </w:tc>
        <w:tc>
          <w:tcPr>
            <w:tcW w:w="1394" w:type="dxa"/>
            <w:tcBorders>
              <w:top w:val="single" w:color="auto" w:sz="12" w:space="0"/>
              <w:left w:val="single" w:color="auto" w:sz="6" w:space="0"/>
              <w:bottom w:val="single" w:color="auto" w:sz="6" w:space="0"/>
              <w:right w:val="single" w:color="auto" w:sz="12" w:space="0"/>
            </w:tcBorders>
          </w:tcPr>
          <w:p w14:paraId="163929A9">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041B8F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4" w:hRule="atLeast"/>
        </w:trPr>
        <w:tc>
          <w:tcPr>
            <w:tcW w:w="1213" w:type="dxa"/>
            <w:vMerge w:val="continue"/>
            <w:tcBorders>
              <w:top w:val="single" w:color="auto" w:sz="12" w:space="0"/>
              <w:left w:val="single" w:color="auto" w:sz="12" w:space="0"/>
              <w:bottom w:val="single" w:color="auto" w:sz="6" w:space="0"/>
              <w:right w:val="single" w:color="auto" w:sz="6" w:space="0"/>
            </w:tcBorders>
            <w:vAlign w:val="center"/>
          </w:tcPr>
          <w:p w14:paraId="3D87E624">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1C690434">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户内地面</w:t>
            </w:r>
          </w:p>
        </w:tc>
        <w:tc>
          <w:tcPr>
            <w:tcW w:w="3706" w:type="dxa"/>
            <w:tcBorders>
              <w:top w:val="single" w:color="auto" w:sz="6" w:space="0"/>
              <w:left w:val="single" w:color="auto" w:sz="6" w:space="0"/>
              <w:bottom w:val="single" w:color="auto" w:sz="6" w:space="0"/>
              <w:right w:val="single" w:color="auto" w:sz="6" w:space="0"/>
            </w:tcBorders>
          </w:tcPr>
          <w:p w14:paraId="69B231D6">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根据竣工现状</w:t>
            </w:r>
          </w:p>
        </w:tc>
        <w:tc>
          <w:tcPr>
            <w:tcW w:w="1394" w:type="dxa"/>
            <w:tcBorders>
              <w:top w:val="single" w:color="auto" w:sz="6" w:space="0"/>
              <w:left w:val="single" w:color="auto" w:sz="6" w:space="0"/>
              <w:bottom w:val="single" w:color="auto" w:sz="6" w:space="0"/>
              <w:right w:val="single" w:color="auto" w:sz="12" w:space="0"/>
            </w:tcBorders>
          </w:tcPr>
          <w:p w14:paraId="0FF94D03">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51122E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4" w:hRule="atLeast"/>
        </w:trPr>
        <w:tc>
          <w:tcPr>
            <w:tcW w:w="1213" w:type="dxa"/>
            <w:vMerge w:val="continue"/>
            <w:tcBorders>
              <w:top w:val="single" w:color="auto" w:sz="12" w:space="0"/>
              <w:left w:val="single" w:color="auto" w:sz="12" w:space="0"/>
              <w:bottom w:val="single" w:color="auto" w:sz="6" w:space="0"/>
              <w:right w:val="single" w:color="auto" w:sz="6" w:space="0"/>
            </w:tcBorders>
            <w:vAlign w:val="center"/>
          </w:tcPr>
          <w:p w14:paraId="12863A6D">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0117D083">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内墙或隔墙</w:t>
            </w:r>
          </w:p>
        </w:tc>
        <w:tc>
          <w:tcPr>
            <w:tcW w:w="3706" w:type="dxa"/>
            <w:tcBorders>
              <w:top w:val="single" w:color="auto" w:sz="6" w:space="0"/>
              <w:left w:val="single" w:color="auto" w:sz="6" w:space="0"/>
              <w:bottom w:val="single" w:color="auto" w:sz="6" w:space="0"/>
              <w:right w:val="single" w:color="auto" w:sz="6" w:space="0"/>
            </w:tcBorders>
          </w:tcPr>
          <w:p w14:paraId="06D36DD4">
            <w:pPr>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店与店提供轻钢龙骨隔墙或轻质隔墙</w:t>
            </w:r>
          </w:p>
        </w:tc>
        <w:tc>
          <w:tcPr>
            <w:tcW w:w="1394" w:type="dxa"/>
            <w:tcBorders>
              <w:top w:val="single" w:color="auto" w:sz="6" w:space="0"/>
              <w:left w:val="single" w:color="auto" w:sz="6" w:space="0"/>
              <w:bottom w:val="single" w:color="auto" w:sz="6" w:space="0"/>
              <w:right w:val="single" w:color="auto" w:sz="12" w:space="0"/>
            </w:tcBorders>
          </w:tcPr>
          <w:p w14:paraId="6BCC5028">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4E366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3" w:hRule="atLeast"/>
        </w:trPr>
        <w:tc>
          <w:tcPr>
            <w:tcW w:w="1213" w:type="dxa"/>
            <w:vMerge w:val="continue"/>
            <w:tcBorders>
              <w:top w:val="single" w:color="auto" w:sz="12" w:space="0"/>
              <w:left w:val="single" w:color="auto" w:sz="12" w:space="0"/>
              <w:bottom w:val="single" w:color="auto" w:sz="6" w:space="0"/>
              <w:right w:val="single" w:color="auto" w:sz="6" w:space="0"/>
            </w:tcBorders>
            <w:vAlign w:val="center"/>
          </w:tcPr>
          <w:p w14:paraId="14067FB0">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52606B6E">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内部吊顶</w:t>
            </w:r>
          </w:p>
        </w:tc>
        <w:tc>
          <w:tcPr>
            <w:tcW w:w="3706" w:type="dxa"/>
            <w:tcBorders>
              <w:top w:val="single" w:color="auto" w:sz="6" w:space="0"/>
              <w:left w:val="single" w:color="auto" w:sz="6" w:space="0"/>
              <w:bottom w:val="single" w:color="auto" w:sz="6" w:space="0"/>
              <w:right w:val="single" w:color="auto" w:sz="6" w:space="0"/>
            </w:tcBorders>
          </w:tcPr>
          <w:p w14:paraId="031474B4">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不提供吊顶</w:t>
            </w:r>
          </w:p>
        </w:tc>
        <w:tc>
          <w:tcPr>
            <w:tcW w:w="1394" w:type="dxa"/>
            <w:tcBorders>
              <w:top w:val="single" w:color="auto" w:sz="6" w:space="0"/>
              <w:left w:val="single" w:color="auto" w:sz="6" w:space="0"/>
              <w:bottom w:val="single" w:color="auto" w:sz="6" w:space="0"/>
              <w:right w:val="single" w:color="auto" w:sz="12" w:space="0"/>
            </w:tcBorders>
          </w:tcPr>
          <w:p w14:paraId="1B4F6E30">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541A4E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4" w:hRule="atLeast"/>
        </w:trPr>
        <w:tc>
          <w:tcPr>
            <w:tcW w:w="1213" w:type="dxa"/>
            <w:vMerge w:val="continue"/>
            <w:tcBorders>
              <w:top w:val="single" w:color="auto" w:sz="12" w:space="0"/>
              <w:left w:val="single" w:color="auto" w:sz="12" w:space="0"/>
              <w:bottom w:val="single" w:color="auto" w:sz="6" w:space="0"/>
              <w:right w:val="single" w:color="auto" w:sz="6" w:space="0"/>
            </w:tcBorders>
            <w:vAlign w:val="center"/>
          </w:tcPr>
          <w:p w14:paraId="77353B6E">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410D2239">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结构梁和柱</w:t>
            </w:r>
          </w:p>
        </w:tc>
        <w:tc>
          <w:tcPr>
            <w:tcW w:w="3706" w:type="dxa"/>
            <w:tcBorders>
              <w:top w:val="single" w:color="auto" w:sz="6" w:space="0"/>
              <w:left w:val="single" w:color="auto" w:sz="6" w:space="0"/>
              <w:bottom w:val="single" w:color="auto" w:sz="6" w:space="0"/>
              <w:right w:val="single" w:color="auto" w:sz="6" w:space="0"/>
            </w:tcBorders>
          </w:tcPr>
          <w:p w14:paraId="61A9D6F4">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根据竣工现状</w:t>
            </w:r>
          </w:p>
        </w:tc>
        <w:tc>
          <w:tcPr>
            <w:tcW w:w="1394" w:type="dxa"/>
            <w:tcBorders>
              <w:top w:val="single" w:color="auto" w:sz="6" w:space="0"/>
              <w:left w:val="single" w:color="auto" w:sz="6" w:space="0"/>
              <w:bottom w:val="single" w:color="auto" w:sz="6" w:space="0"/>
              <w:right w:val="single" w:color="auto" w:sz="12" w:space="0"/>
            </w:tcBorders>
          </w:tcPr>
          <w:p w14:paraId="4D4845D9">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197D1E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4" w:hRule="atLeast"/>
        </w:trPr>
        <w:tc>
          <w:tcPr>
            <w:tcW w:w="1213" w:type="dxa"/>
            <w:vMerge w:val="continue"/>
            <w:tcBorders>
              <w:top w:val="single" w:color="auto" w:sz="12" w:space="0"/>
              <w:left w:val="single" w:color="auto" w:sz="12" w:space="0"/>
              <w:bottom w:val="single" w:color="auto" w:sz="6" w:space="0"/>
              <w:right w:val="single" w:color="auto" w:sz="6" w:space="0"/>
            </w:tcBorders>
            <w:vAlign w:val="center"/>
          </w:tcPr>
          <w:p w14:paraId="47CBF523">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0299C283">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荷载（按实际情况）</w:t>
            </w:r>
          </w:p>
        </w:tc>
        <w:tc>
          <w:tcPr>
            <w:tcW w:w="3706" w:type="dxa"/>
            <w:tcBorders>
              <w:top w:val="single" w:color="auto" w:sz="6" w:space="0"/>
              <w:left w:val="single" w:color="auto" w:sz="6" w:space="0"/>
              <w:bottom w:val="single" w:color="auto" w:sz="6" w:space="0"/>
              <w:right w:val="single" w:color="auto" w:sz="6" w:space="0"/>
            </w:tcBorders>
          </w:tcPr>
          <w:p w14:paraId="3660014F">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300 kg/m</w:t>
            </w:r>
            <w:r>
              <w:rPr>
                <w:rFonts w:hint="eastAsia" w:ascii="等线" w:hAnsi="等线" w:eastAsia="等线" w:cs="宋体"/>
                <w:color w:val="000000" w:themeColor="text1"/>
                <w:kern w:val="0"/>
                <w:sz w:val="18"/>
                <w:szCs w:val="18"/>
                <w:vertAlign w:val="superscript"/>
                <w:lang w:val="zh-CN" w:bidi="zh-CN"/>
                <w14:textFill>
                  <w14:solidFill>
                    <w14:schemeClr w14:val="tx1"/>
                  </w14:solidFill>
                </w14:textFill>
              </w:rPr>
              <w:t>2，</w:t>
            </w:r>
            <w:r>
              <w:rPr>
                <w:rFonts w:hint="eastAsia" w:ascii="等线" w:hAnsi="等线" w:eastAsia="等线" w:cs="宋体"/>
                <w:color w:val="000000" w:themeColor="text1"/>
                <w:kern w:val="0"/>
                <w:sz w:val="18"/>
                <w:szCs w:val="18"/>
                <w:lang w:val="zh-CN" w:bidi="zh-CN"/>
                <w14:textFill>
                  <w14:solidFill>
                    <w14:schemeClr w14:val="tx1"/>
                  </w14:solidFill>
                </w14:textFill>
              </w:rPr>
              <w:t>厨房区域450 kg/m</w:t>
            </w:r>
            <w:r>
              <w:rPr>
                <w:rFonts w:hint="eastAsia" w:ascii="等线" w:hAnsi="等线" w:eastAsia="等线" w:cs="宋体"/>
                <w:color w:val="000000" w:themeColor="text1"/>
                <w:kern w:val="0"/>
                <w:sz w:val="18"/>
                <w:szCs w:val="18"/>
                <w:vertAlign w:val="superscript"/>
                <w:lang w:val="zh-CN" w:bidi="zh-CN"/>
                <w14:textFill>
                  <w14:solidFill>
                    <w14:schemeClr w14:val="tx1"/>
                  </w14:solidFill>
                </w14:textFill>
              </w:rPr>
              <w:t xml:space="preserve">2     </w:t>
            </w:r>
            <w:r>
              <w:rPr>
                <w:rFonts w:hint="eastAsia" w:ascii="等线" w:hAnsi="等线" w:eastAsia="等线" w:cs="宋体"/>
                <w:color w:val="000000" w:themeColor="text1"/>
                <w:kern w:val="0"/>
                <w:sz w:val="18"/>
                <w:szCs w:val="18"/>
                <w:lang w:val="zh-CN" w:bidi="zh-CN"/>
                <w14:textFill>
                  <w14:solidFill>
                    <w14:schemeClr w14:val="tx1"/>
                  </w14:solidFill>
                </w14:textFill>
              </w:rPr>
              <w:t>（常规标准作参考）</w:t>
            </w:r>
          </w:p>
        </w:tc>
        <w:tc>
          <w:tcPr>
            <w:tcW w:w="1394" w:type="dxa"/>
            <w:tcBorders>
              <w:top w:val="single" w:color="auto" w:sz="6" w:space="0"/>
              <w:left w:val="single" w:color="auto" w:sz="6" w:space="0"/>
              <w:bottom w:val="single" w:color="auto" w:sz="6" w:space="0"/>
              <w:right w:val="single" w:color="auto" w:sz="12" w:space="0"/>
            </w:tcBorders>
          </w:tcPr>
          <w:p w14:paraId="470E7735">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p>
        </w:tc>
      </w:tr>
      <w:tr w14:paraId="53740C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1213" w:type="dxa"/>
            <w:vMerge w:val="restart"/>
            <w:tcBorders>
              <w:top w:val="single" w:color="auto" w:sz="6" w:space="0"/>
              <w:left w:val="single" w:color="auto" w:sz="12" w:space="0"/>
              <w:bottom w:val="single" w:color="auto" w:sz="6" w:space="0"/>
              <w:right w:val="single" w:color="auto" w:sz="6" w:space="0"/>
            </w:tcBorders>
            <w:vAlign w:val="center"/>
          </w:tcPr>
          <w:p w14:paraId="6E1DE78F">
            <w:pPr>
              <w:tabs>
                <w:tab w:val="left" w:pos="960"/>
              </w:tabs>
              <w:autoSpaceDE w:val="0"/>
              <w:autoSpaceDN w:val="0"/>
              <w:spacing w:line="280" w:lineRule="exact"/>
              <w:jc w:val="center"/>
              <w:rPr>
                <w:rFonts w:ascii="等线" w:hAnsi="等线" w:eastAsia="等线" w:cs="Times New Roman"/>
                <w:b/>
                <w:color w:val="000000" w:themeColor="text1"/>
                <w:sz w:val="18"/>
                <w:szCs w:val="18"/>
                <w:lang w:val="zh-CN" w:bidi="zh-CN"/>
                <w14:textFill>
                  <w14:solidFill>
                    <w14:schemeClr w14:val="tx1"/>
                  </w14:solidFill>
                </w14:textFill>
              </w:rPr>
            </w:pPr>
            <w:r>
              <w:rPr>
                <w:rFonts w:hint="eastAsia" w:ascii="等线" w:hAnsi="等线" w:eastAsia="等线" w:cs="宋体"/>
                <w:b/>
                <w:color w:val="000000" w:themeColor="text1"/>
                <w:kern w:val="0"/>
                <w:sz w:val="18"/>
                <w:szCs w:val="18"/>
                <w:lang w:val="zh-CN" w:bidi="zh-CN"/>
                <w14:textFill>
                  <w14:solidFill>
                    <w14:schemeClr w14:val="tx1"/>
                  </w14:solidFill>
                </w14:textFill>
              </w:rPr>
              <w:t>空调系统</w:t>
            </w:r>
          </w:p>
        </w:tc>
        <w:tc>
          <w:tcPr>
            <w:tcW w:w="1947" w:type="dxa"/>
            <w:tcBorders>
              <w:top w:val="single" w:color="auto" w:sz="6" w:space="0"/>
              <w:left w:val="single" w:color="auto" w:sz="6" w:space="0"/>
              <w:bottom w:val="single" w:color="auto" w:sz="6" w:space="0"/>
              <w:right w:val="single" w:color="auto" w:sz="6" w:space="0"/>
            </w:tcBorders>
          </w:tcPr>
          <w:p w14:paraId="7AD3E982">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空调设备</w:t>
            </w:r>
          </w:p>
        </w:tc>
        <w:tc>
          <w:tcPr>
            <w:tcW w:w="3706" w:type="dxa"/>
            <w:tcBorders>
              <w:top w:val="single" w:color="auto" w:sz="6" w:space="0"/>
              <w:left w:val="single" w:color="auto" w:sz="6" w:space="0"/>
              <w:bottom w:val="single" w:color="auto" w:sz="6" w:space="0"/>
              <w:right w:val="single" w:color="auto" w:sz="6" w:space="0"/>
            </w:tcBorders>
          </w:tcPr>
          <w:p w14:paraId="7A701683">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根据竣工现状</w:t>
            </w:r>
          </w:p>
        </w:tc>
        <w:tc>
          <w:tcPr>
            <w:tcW w:w="1394" w:type="dxa"/>
            <w:tcBorders>
              <w:top w:val="single" w:color="auto" w:sz="6" w:space="0"/>
              <w:left w:val="single" w:color="auto" w:sz="6" w:space="0"/>
              <w:bottom w:val="single" w:color="auto" w:sz="6" w:space="0"/>
              <w:right w:val="single" w:color="auto" w:sz="12" w:space="0"/>
            </w:tcBorders>
          </w:tcPr>
          <w:p w14:paraId="7AB61F65">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p>
        </w:tc>
      </w:tr>
      <w:tr w14:paraId="6651DD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4" w:hRule="atLeast"/>
        </w:trPr>
        <w:tc>
          <w:tcPr>
            <w:tcW w:w="1213" w:type="dxa"/>
            <w:vMerge w:val="continue"/>
            <w:tcBorders>
              <w:top w:val="single" w:color="auto" w:sz="6" w:space="0"/>
              <w:left w:val="single" w:color="auto" w:sz="12" w:space="0"/>
              <w:bottom w:val="single" w:color="auto" w:sz="6" w:space="0"/>
              <w:right w:val="single" w:color="auto" w:sz="6" w:space="0"/>
            </w:tcBorders>
            <w:vAlign w:val="center"/>
          </w:tcPr>
          <w:p w14:paraId="250237EA">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1C187769">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制冷参数</w:t>
            </w:r>
          </w:p>
        </w:tc>
        <w:tc>
          <w:tcPr>
            <w:tcW w:w="3706" w:type="dxa"/>
            <w:tcBorders>
              <w:top w:val="single" w:color="auto" w:sz="6" w:space="0"/>
              <w:left w:val="single" w:color="auto" w:sz="6" w:space="0"/>
              <w:bottom w:val="single" w:color="auto" w:sz="6" w:space="0"/>
              <w:right w:val="single" w:color="auto" w:sz="6" w:space="0"/>
            </w:tcBorders>
          </w:tcPr>
          <w:p w14:paraId="7DE7699F">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Times New Roman"/>
                <w:color w:val="000000" w:themeColor="text1"/>
                <w:sz w:val="18"/>
                <w:szCs w:val="18"/>
                <w:lang w:val="zh-CN" w:bidi="zh-CN"/>
                <w14:textFill>
                  <w14:solidFill>
                    <w14:schemeClr w14:val="tx1"/>
                  </w14:solidFill>
                </w14:textFill>
              </w:rPr>
              <w:t>/</w:t>
            </w:r>
          </w:p>
        </w:tc>
        <w:tc>
          <w:tcPr>
            <w:tcW w:w="1394" w:type="dxa"/>
            <w:tcBorders>
              <w:top w:val="single" w:color="auto" w:sz="6" w:space="0"/>
              <w:left w:val="single" w:color="auto" w:sz="6" w:space="0"/>
              <w:bottom w:val="single" w:color="auto" w:sz="6" w:space="0"/>
              <w:right w:val="single" w:color="auto" w:sz="12" w:space="0"/>
            </w:tcBorders>
          </w:tcPr>
          <w:p w14:paraId="51530E97">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37CE4D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3" w:hRule="atLeast"/>
        </w:trPr>
        <w:tc>
          <w:tcPr>
            <w:tcW w:w="1213" w:type="dxa"/>
            <w:vMerge w:val="continue"/>
            <w:tcBorders>
              <w:top w:val="single" w:color="auto" w:sz="6" w:space="0"/>
              <w:left w:val="single" w:color="auto" w:sz="12" w:space="0"/>
              <w:bottom w:val="single" w:color="auto" w:sz="6" w:space="0"/>
              <w:right w:val="single" w:color="auto" w:sz="6" w:space="0"/>
            </w:tcBorders>
            <w:vAlign w:val="center"/>
          </w:tcPr>
          <w:p w14:paraId="3EE02D2F">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3A909579">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管路</w:t>
            </w:r>
          </w:p>
        </w:tc>
        <w:tc>
          <w:tcPr>
            <w:tcW w:w="3706" w:type="dxa"/>
            <w:tcBorders>
              <w:top w:val="single" w:color="auto" w:sz="6" w:space="0"/>
              <w:left w:val="single" w:color="auto" w:sz="6" w:space="0"/>
              <w:bottom w:val="single" w:color="auto" w:sz="6" w:space="0"/>
              <w:right w:val="single" w:color="auto" w:sz="6" w:space="0"/>
            </w:tcBorders>
          </w:tcPr>
          <w:p w14:paraId="387327B5">
            <w:pPr>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根据竣工现状</w:t>
            </w:r>
          </w:p>
        </w:tc>
        <w:tc>
          <w:tcPr>
            <w:tcW w:w="1394" w:type="dxa"/>
            <w:tcBorders>
              <w:top w:val="single" w:color="auto" w:sz="6" w:space="0"/>
              <w:left w:val="single" w:color="auto" w:sz="6" w:space="0"/>
              <w:bottom w:val="single" w:color="auto" w:sz="6" w:space="0"/>
              <w:right w:val="single" w:color="auto" w:sz="12" w:space="0"/>
            </w:tcBorders>
          </w:tcPr>
          <w:p w14:paraId="6FF141EA">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17FFCE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4" w:hRule="atLeast"/>
        </w:trPr>
        <w:tc>
          <w:tcPr>
            <w:tcW w:w="1213" w:type="dxa"/>
            <w:vMerge w:val="continue"/>
            <w:tcBorders>
              <w:top w:val="single" w:color="auto" w:sz="6" w:space="0"/>
              <w:left w:val="single" w:color="auto" w:sz="12" w:space="0"/>
              <w:bottom w:val="single" w:color="auto" w:sz="6" w:space="0"/>
              <w:right w:val="single" w:color="auto" w:sz="6" w:space="0"/>
            </w:tcBorders>
            <w:vAlign w:val="center"/>
          </w:tcPr>
          <w:p w14:paraId="12F66FF5">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6207597F">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内部吊顶</w:t>
            </w:r>
          </w:p>
        </w:tc>
        <w:tc>
          <w:tcPr>
            <w:tcW w:w="3706" w:type="dxa"/>
            <w:tcBorders>
              <w:top w:val="single" w:color="auto" w:sz="6" w:space="0"/>
              <w:left w:val="single" w:color="auto" w:sz="6" w:space="0"/>
              <w:bottom w:val="single" w:color="auto" w:sz="6" w:space="0"/>
              <w:right w:val="single" w:color="auto" w:sz="6" w:space="0"/>
            </w:tcBorders>
          </w:tcPr>
          <w:p w14:paraId="155C584B">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根据竣工现状</w:t>
            </w:r>
          </w:p>
        </w:tc>
        <w:tc>
          <w:tcPr>
            <w:tcW w:w="1394" w:type="dxa"/>
            <w:tcBorders>
              <w:top w:val="single" w:color="auto" w:sz="6" w:space="0"/>
              <w:left w:val="single" w:color="auto" w:sz="6" w:space="0"/>
              <w:bottom w:val="single" w:color="auto" w:sz="6" w:space="0"/>
              <w:right w:val="single" w:color="auto" w:sz="12" w:space="0"/>
            </w:tcBorders>
          </w:tcPr>
          <w:p w14:paraId="2E55EB43">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7AEA05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3" w:hRule="atLeast"/>
        </w:trPr>
        <w:tc>
          <w:tcPr>
            <w:tcW w:w="1213" w:type="dxa"/>
            <w:vMerge w:val="continue"/>
            <w:tcBorders>
              <w:top w:val="single" w:color="auto" w:sz="6" w:space="0"/>
              <w:left w:val="single" w:color="auto" w:sz="12" w:space="0"/>
              <w:bottom w:val="single" w:color="auto" w:sz="6" w:space="0"/>
              <w:right w:val="single" w:color="auto" w:sz="6" w:space="0"/>
            </w:tcBorders>
            <w:vAlign w:val="center"/>
          </w:tcPr>
          <w:p w14:paraId="3BD6EBA3">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1707BCB1">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厨房排油烟管接口（如有）</w:t>
            </w:r>
          </w:p>
        </w:tc>
        <w:tc>
          <w:tcPr>
            <w:tcW w:w="3706" w:type="dxa"/>
            <w:tcBorders>
              <w:top w:val="single" w:color="auto" w:sz="6" w:space="0"/>
              <w:left w:val="single" w:color="auto" w:sz="6" w:space="0"/>
              <w:bottom w:val="single" w:color="auto" w:sz="6" w:space="0"/>
              <w:right w:val="single" w:color="auto" w:sz="6" w:space="0"/>
            </w:tcBorders>
          </w:tcPr>
          <w:p w14:paraId="1CCDF1A3">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根据竣工现状</w:t>
            </w:r>
          </w:p>
        </w:tc>
        <w:tc>
          <w:tcPr>
            <w:tcW w:w="1394" w:type="dxa"/>
            <w:tcBorders>
              <w:top w:val="single" w:color="auto" w:sz="6" w:space="0"/>
              <w:left w:val="single" w:color="auto" w:sz="6" w:space="0"/>
              <w:bottom w:val="single" w:color="auto" w:sz="6" w:space="0"/>
              <w:right w:val="single" w:color="auto" w:sz="12" w:space="0"/>
            </w:tcBorders>
          </w:tcPr>
          <w:p w14:paraId="04FFAF4A">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324EE0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13" w:type="dxa"/>
            <w:vMerge w:val="continue"/>
            <w:tcBorders>
              <w:top w:val="single" w:color="auto" w:sz="6" w:space="0"/>
              <w:left w:val="single" w:color="auto" w:sz="12" w:space="0"/>
              <w:bottom w:val="single" w:color="auto" w:sz="6" w:space="0"/>
              <w:right w:val="single" w:color="auto" w:sz="6" w:space="0"/>
            </w:tcBorders>
            <w:vAlign w:val="center"/>
          </w:tcPr>
          <w:p w14:paraId="1849446A">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01D95D65">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厨房补风管道（如有）</w:t>
            </w:r>
          </w:p>
        </w:tc>
        <w:tc>
          <w:tcPr>
            <w:tcW w:w="3706" w:type="dxa"/>
            <w:tcBorders>
              <w:top w:val="single" w:color="auto" w:sz="6" w:space="0"/>
              <w:left w:val="single" w:color="auto" w:sz="6" w:space="0"/>
              <w:bottom w:val="single" w:color="auto" w:sz="6" w:space="0"/>
              <w:right w:val="single" w:color="auto" w:sz="6" w:space="0"/>
            </w:tcBorders>
          </w:tcPr>
          <w:p w14:paraId="0F7AD4BC">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根据竣工现状</w:t>
            </w:r>
          </w:p>
        </w:tc>
        <w:tc>
          <w:tcPr>
            <w:tcW w:w="1394" w:type="dxa"/>
            <w:tcBorders>
              <w:top w:val="single" w:color="auto" w:sz="6" w:space="0"/>
              <w:left w:val="single" w:color="auto" w:sz="6" w:space="0"/>
              <w:bottom w:val="single" w:color="auto" w:sz="6" w:space="0"/>
              <w:right w:val="single" w:color="auto" w:sz="12" w:space="0"/>
            </w:tcBorders>
          </w:tcPr>
          <w:p w14:paraId="2BAD5CBC">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31BF76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 w:hRule="atLeast"/>
        </w:trPr>
        <w:tc>
          <w:tcPr>
            <w:tcW w:w="1213" w:type="dxa"/>
            <w:vMerge w:val="continue"/>
            <w:tcBorders>
              <w:top w:val="single" w:color="auto" w:sz="6" w:space="0"/>
              <w:left w:val="single" w:color="auto" w:sz="12" w:space="0"/>
              <w:bottom w:val="single" w:color="auto" w:sz="6" w:space="0"/>
              <w:right w:val="single" w:color="auto" w:sz="6" w:space="0"/>
            </w:tcBorders>
            <w:vAlign w:val="center"/>
          </w:tcPr>
          <w:p w14:paraId="68D4C09B">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7B0BBEE7">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厨房事故排风管道（如有）</w:t>
            </w:r>
          </w:p>
        </w:tc>
        <w:tc>
          <w:tcPr>
            <w:tcW w:w="3706" w:type="dxa"/>
            <w:tcBorders>
              <w:top w:val="single" w:color="auto" w:sz="6" w:space="0"/>
              <w:left w:val="single" w:color="auto" w:sz="6" w:space="0"/>
              <w:bottom w:val="single" w:color="auto" w:sz="6" w:space="0"/>
              <w:right w:val="single" w:color="auto" w:sz="6" w:space="0"/>
            </w:tcBorders>
          </w:tcPr>
          <w:p w14:paraId="7F43C7C8">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根据竣工现状</w:t>
            </w:r>
          </w:p>
        </w:tc>
        <w:tc>
          <w:tcPr>
            <w:tcW w:w="1394" w:type="dxa"/>
            <w:tcBorders>
              <w:top w:val="single" w:color="auto" w:sz="6" w:space="0"/>
              <w:left w:val="single" w:color="auto" w:sz="6" w:space="0"/>
              <w:bottom w:val="single" w:color="auto" w:sz="6" w:space="0"/>
              <w:right w:val="single" w:color="auto" w:sz="12" w:space="0"/>
            </w:tcBorders>
          </w:tcPr>
          <w:p w14:paraId="6596DA52">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703D00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13" w:type="dxa"/>
            <w:tcBorders>
              <w:top w:val="single" w:color="auto" w:sz="6" w:space="0"/>
              <w:left w:val="single" w:color="auto" w:sz="12" w:space="0"/>
              <w:bottom w:val="single" w:color="auto" w:sz="6" w:space="0"/>
              <w:right w:val="single" w:color="auto" w:sz="6" w:space="0"/>
            </w:tcBorders>
          </w:tcPr>
          <w:p w14:paraId="1A256FFF">
            <w:pPr>
              <w:tabs>
                <w:tab w:val="left" w:pos="960"/>
              </w:tabs>
              <w:autoSpaceDE w:val="0"/>
              <w:autoSpaceDN w:val="0"/>
              <w:spacing w:line="280" w:lineRule="exact"/>
              <w:jc w:val="center"/>
              <w:rPr>
                <w:rFonts w:ascii="等线" w:hAnsi="等线" w:eastAsia="等线" w:cs="Times New Roman"/>
                <w:b/>
                <w:color w:val="000000" w:themeColor="text1"/>
                <w:sz w:val="18"/>
                <w:szCs w:val="18"/>
                <w:lang w:val="zh-CN" w:bidi="zh-CN"/>
                <w14:textFill>
                  <w14:solidFill>
                    <w14:schemeClr w14:val="tx1"/>
                  </w14:solidFill>
                </w14:textFill>
              </w:rPr>
            </w:pPr>
            <w:r>
              <w:rPr>
                <w:rFonts w:hint="eastAsia" w:ascii="等线" w:hAnsi="等线" w:eastAsia="等线" w:cs="宋体"/>
                <w:b/>
                <w:color w:val="000000" w:themeColor="text1"/>
                <w:kern w:val="0"/>
                <w:sz w:val="18"/>
                <w:szCs w:val="18"/>
                <w:lang w:val="zh-CN" w:bidi="zh-CN"/>
                <w14:textFill>
                  <w14:solidFill>
                    <w14:schemeClr w14:val="tx1"/>
                  </w14:solidFill>
                </w14:textFill>
              </w:rPr>
              <w:t>给水系统</w:t>
            </w:r>
          </w:p>
        </w:tc>
        <w:tc>
          <w:tcPr>
            <w:tcW w:w="1947" w:type="dxa"/>
            <w:tcBorders>
              <w:top w:val="single" w:color="auto" w:sz="6" w:space="0"/>
              <w:left w:val="single" w:color="auto" w:sz="6" w:space="0"/>
              <w:bottom w:val="single" w:color="auto" w:sz="6" w:space="0"/>
              <w:right w:val="single" w:color="auto" w:sz="6" w:space="0"/>
            </w:tcBorders>
          </w:tcPr>
          <w:p w14:paraId="73417190">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管路（如有）</w:t>
            </w:r>
          </w:p>
        </w:tc>
        <w:tc>
          <w:tcPr>
            <w:tcW w:w="3706" w:type="dxa"/>
            <w:tcBorders>
              <w:top w:val="single" w:color="auto" w:sz="6" w:space="0"/>
              <w:left w:val="single" w:color="auto" w:sz="6" w:space="0"/>
              <w:bottom w:val="single" w:color="auto" w:sz="6" w:space="0"/>
              <w:right w:val="single" w:color="auto" w:sz="6" w:space="0"/>
            </w:tcBorders>
          </w:tcPr>
          <w:p w14:paraId="3C3CC87A">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接驳点入户（安装水表）</w:t>
            </w:r>
          </w:p>
        </w:tc>
        <w:tc>
          <w:tcPr>
            <w:tcW w:w="1394" w:type="dxa"/>
            <w:tcBorders>
              <w:top w:val="single" w:color="auto" w:sz="6" w:space="0"/>
              <w:left w:val="single" w:color="auto" w:sz="6" w:space="0"/>
              <w:bottom w:val="single" w:color="auto" w:sz="6" w:space="0"/>
              <w:right w:val="single" w:color="auto" w:sz="12" w:space="0"/>
            </w:tcBorders>
          </w:tcPr>
          <w:p w14:paraId="64B68CE0">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0F271C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13" w:type="dxa"/>
            <w:tcBorders>
              <w:top w:val="single" w:color="auto" w:sz="6" w:space="0"/>
              <w:left w:val="single" w:color="auto" w:sz="12" w:space="0"/>
              <w:bottom w:val="single" w:color="auto" w:sz="6" w:space="0"/>
              <w:right w:val="single" w:color="auto" w:sz="6" w:space="0"/>
            </w:tcBorders>
          </w:tcPr>
          <w:p w14:paraId="24FD8F79">
            <w:pPr>
              <w:tabs>
                <w:tab w:val="left" w:pos="960"/>
              </w:tabs>
              <w:autoSpaceDE w:val="0"/>
              <w:autoSpaceDN w:val="0"/>
              <w:spacing w:line="280" w:lineRule="exact"/>
              <w:jc w:val="center"/>
              <w:rPr>
                <w:rFonts w:ascii="等线" w:hAnsi="等线" w:eastAsia="等线" w:cs="Times New Roman"/>
                <w:b/>
                <w:color w:val="000000" w:themeColor="text1"/>
                <w:sz w:val="18"/>
                <w:szCs w:val="18"/>
                <w:lang w:val="zh-CN" w:bidi="zh-CN"/>
                <w14:textFill>
                  <w14:solidFill>
                    <w14:schemeClr w14:val="tx1"/>
                  </w14:solidFill>
                </w14:textFill>
              </w:rPr>
            </w:pPr>
            <w:r>
              <w:rPr>
                <w:rFonts w:hint="eastAsia" w:ascii="等线" w:hAnsi="等线" w:eastAsia="等线" w:cs="宋体"/>
                <w:b/>
                <w:color w:val="000000" w:themeColor="text1"/>
                <w:kern w:val="0"/>
                <w:sz w:val="18"/>
                <w:szCs w:val="18"/>
                <w:lang w:val="zh-CN" w:bidi="zh-CN"/>
                <w14:textFill>
                  <w14:solidFill>
                    <w14:schemeClr w14:val="tx1"/>
                  </w14:solidFill>
                </w14:textFill>
              </w:rPr>
              <w:t>排水系统</w:t>
            </w:r>
          </w:p>
        </w:tc>
        <w:tc>
          <w:tcPr>
            <w:tcW w:w="1947" w:type="dxa"/>
            <w:tcBorders>
              <w:top w:val="single" w:color="auto" w:sz="6" w:space="0"/>
              <w:left w:val="single" w:color="auto" w:sz="6" w:space="0"/>
              <w:bottom w:val="single" w:color="auto" w:sz="6" w:space="0"/>
              <w:right w:val="single" w:color="auto" w:sz="6" w:space="0"/>
            </w:tcBorders>
          </w:tcPr>
          <w:p w14:paraId="22598C43">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管路（如有）</w:t>
            </w:r>
          </w:p>
        </w:tc>
        <w:tc>
          <w:tcPr>
            <w:tcW w:w="3706" w:type="dxa"/>
            <w:tcBorders>
              <w:top w:val="single" w:color="auto" w:sz="6" w:space="0"/>
              <w:left w:val="single" w:color="auto" w:sz="6" w:space="0"/>
              <w:bottom w:val="single" w:color="auto" w:sz="6" w:space="0"/>
              <w:right w:val="single" w:color="auto" w:sz="6" w:space="0"/>
            </w:tcBorders>
          </w:tcPr>
          <w:p w14:paraId="6B230199">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接驳点入户</w:t>
            </w:r>
          </w:p>
        </w:tc>
        <w:tc>
          <w:tcPr>
            <w:tcW w:w="1394" w:type="dxa"/>
            <w:tcBorders>
              <w:top w:val="single" w:color="auto" w:sz="6" w:space="0"/>
              <w:left w:val="single" w:color="auto" w:sz="6" w:space="0"/>
              <w:bottom w:val="single" w:color="auto" w:sz="6" w:space="0"/>
              <w:right w:val="single" w:color="auto" w:sz="12" w:space="0"/>
            </w:tcBorders>
          </w:tcPr>
          <w:p w14:paraId="7862D2B0">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0E9B1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13" w:type="dxa"/>
            <w:tcBorders>
              <w:top w:val="single" w:color="auto" w:sz="6" w:space="0"/>
              <w:left w:val="single" w:color="auto" w:sz="12" w:space="0"/>
              <w:bottom w:val="single" w:color="auto" w:sz="6" w:space="0"/>
              <w:right w:val="single" w:color="auto" w:sz="6" w:space="0"/>
            </w:tcBorders>
          </w:tcPr>
          <w:p w14:paraId="610E5940">
            <w:pPr>
              <w:tabs>
                <w:tab w:val="left" w:pos="960"/>
              </w:tabs>
              <w:autoSpaceDE w:val="0"/>
              <w:autoSpaceDN w:val="0"/>
              <w:spacing w:line="280" w:lineRule="exact"/>
              <w:jc w:val="center"/>
              <w:rPr>
                <w:rFonts w:ascii="等线" w:hAnsi="等线" w:eastAsia="等线" w:cs="Times New Roman"/>
                <w:b/>
                <w:color w:val="000000" w:themeColor="text1"/>
                <w:sz w:val="18"/>
                <w:szCs w:val="18"/>
                <w:lang w:val="zh-CN" w:bidi="zh-CN"/>
                <w14:textFill>
                  <w14:solidFill>
                    <w14:schemeClr w14:val="tx1"/>
                  </w14:solidFill>
                </w14:textFill>
              </w:rPr>
            </w:pPr>
            <w:r>
              <w:rPr>
                <w:rFonts w:hint="eastAsia" w:ascii="等线" w:hAnsi="等线" w:eastAsia="等线" w:cs="宋体"/>
                <w:b/>
                <w:color w:val="000000" w:themeColor="text1"/>
                <w:kern w:val="0"/>
                <w:sz w:val="18"/>
                <w:szCs w:val="18"/>
                <w:lang w:val="zh-CN" w:bidi="zh-CN"/>
                <w14:textFill>
                  <w14:solidFill>
                    <w14:schemeClr w14:val="tx1"/>
                  </w14:solidFill>
                </w14:textFill>
              </w:rPr>
              <w:t>排污系统</w:t>
            </w:r>
          </w:p>
        </w:tc>
        <w:tc>
          <w:tcPr>
            <w:tcW w:w="1947" w:type="dxa"/>
            <w:tcBorders>
              <w:top w:val="single" w:color="auto" w:sz="6" w:space="0"/>
              <w:left w:val="single" w:color="auto" w:sz="6" w:space="0"/>
              <w:bottom w:val="single" w:color="auto" w:sz="6" w:space="0"/>
              <w:right w:val="single" w:color="auto" w:sz="6" w:space="0"/>
            </w:tcBorders>
          </w:tcPr>
          <w:p w14:paraId="1D44AC52">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管路（如有）</w:t>
            </w:r>
          </w:p>
        </w:tc>
        <w:tc>
          <w:tcPr>
            <w:tcW w:w="3706" w:type="dxa"/>
            <w:tcBorders>
              <w:top w:val="single" w:color="auto" w:sz="6" w:space="0"/>
              <w:left w:val="single" w:color="auto" w:sz="6" w:space="0"/>
              <w:bottom w:val="single" w:color="auto" w:sz="6" w:space="0"/>
              <w:right w:val="single" w:color="auto" w:sz="6" w:space="0"/>
            </w:tcBorders>
          </w:tcPr>
          <w:p w14:paraId="0BF4A599">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设置第一级油污处理装置</w:t>
            </w:r>
          </w:p>
        </w:tc>
        <w:tc>
          <w:tcPr>
            <w:tcW w:w="1394" w:type="dxa"/>
            <w:tcBorders>
              <w:top w:val="single" w:color="auto" w:sz="6" w:space="0"/>
              <w:left w:val="single" w:color="auto" w:sz="6" w:space="0"/>
              <w:bottom w:val="single" w:color="auto" w:sz="6" w:space="0"/>
              <w:right w:val="single" w:color="auto" w:sz="12" w:space="0"/>
            </w:tcBorders>
          </w:tcPr>
          <w:p w14:paraId="3E431D11">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6C5C63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13" w:type="dxa"/>
            <w:tcBorders>
              <w:top w:val="single" w:color="auto" w:sz="6" w:space="0"/>
              <w:left w:val="single" w:color="auto" w:sz="12" w:space="0"/>
              <w:bottom w:val="single" w:color="auto" w:sz="6" w:space="0"/>
              <w:right w:val="single" w:color="auto" w:sz="6" w:space="0"/>
            </w:tcBorders>
          </w:tcPr>
          <w:p w14:paraId="168DF958">
            <w:pPr>
              <w:tabs>
                <w:tab w:val="left" w:pos="960"/>
              </w:tabs>
              <w:autoSpaceDE w:val="0"/>
              <w:autoSpaceDN w:val="0"/>
              <w:spacing w:line="280" w:lineRule="exact"/>
              <w:jc w:val="center"/>
              <w:rPr>
                <w:rFonts w:ascii="等线" w:hAnsi="等线" w:eastAsia="等线" w:cs="Times New Roman"/>
                <w:b/>
                <w:color w:val="000000" w:themeColor="text1"/>
                <w:sz w:val="18"/>
                <w:szCs w:val="18"/>
                <w:lang w:val="zh-CN" w:bidi="zh-CN"/>
                <w14:textFill>
                  <w14:solidFill>
                    <w14:schemeClr w14:val="tx1"/>
                  </w14:solidFill>
                </w14:textFill>
              </w:rPr>
            </w:pPr>
            <w:r>
              <w:rPr>
                <w:rFonts w:hint="eastAsia" w:ascii="等线" w:hAnsi="等线" w:eastAsia="等线" w:cs="宋体"/>
                <w:b/>
                <w:color w:val="000000" w:themeColor="text1"/>
                <w:kern w:val="0"/>
                <w:sz w:val="18"/>
                <w:szCs w:val="18"/>
                <w:lang w:val="zh-CN" w:bidi="zh-CN"/>
                <w14:textFill>
                  <w14:solidFill>
                    <w14:schemeClr w14:val="tx1"/>
                  </w14:solidFill>
                </w14:textFill>
              </w:rPr>
              <w:t>燃气系统</w:t>
            </w:r>
          </w:p>
        </w:tc>
        <w:tc>
          <w:tcPr>
            <w:tcW w:w="1947" w:type="dxa"/>
            <w:tcBorders>
              <w:top w:val="single" w:color="auto" w:sz="6" w:space="0"/>
              <w:left w:val="single" w:color="auto" w:sz="6" w:space="0"/>
              <w:bottom w:val="single" w:color="auto" w:sz="6" w:space="0"/>
              <w:right w:val="single" w:color="auto" w:sz="6" w:space="0"/>
            </w:tcBorders>
          </w:tcPr>
          <w:p w14:paraId="4A13B292">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管路（如有）</w:t>
            </w:r>
          </w:p>
        </w:tc>
        <w:tc>
          <w:tcPr>
            <w:tcW w:w="3706" w:type="dxa"/>
            <w:tcBorders>
              <w:top w:val="single" w:color="auto" w:sz="6" w:space="0"/>
              <w:left w:val="single" w:color="auto" w:sz="6" w:space="0"/>
              <w:bottom w:val="single" w:color="auto" w:sz="6" w:space="0"/>
              <w:right w:val="single" w:color="auto" w:sz="6" w:space="0"/>
            </w:tcBorders>
          </w:tcPr>
          <w:p w14:paraId="0EB3553D">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提供燃气总管，支管入户</w:t>
            </w:r>
          </w:p>
        </w:tc>
        <w:tc>
          <w:tcPr>
            <w:tcW w:w="1394" w:type="dxa"/>
            <w:tcBorders>
              <w:top w:val="single" w:color="auto" w:sz="6" w:space="0"/>
              <w:left w:val="single" w:color="auto" w:sz="6" w:space="0"/>
              <w:bottom w:val="single" w:color="auto" w:sz="6" w:space="0"/>
              <w:right w:val="single" w:color="auto" w:sz="12" w:space="0"/>
            </w:tcBorders>
          </w:tcPr>
          <w:p w14:paraId="7796B868">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137573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13" w:type="dxa"/>
            <w:vMerge w:val="restart"/>
            <w:tcBorders>
              <w:top w:val="single" w:color="auto" w:sz="6" w:space="0"/>
              <w:left w:val="single" w:color="auto" w:sz="12" w:space="0"/>
              <w:bottom w:val="single" w:color="auto" w:sz="6" w:space="0"/>
              <w:right w:val="single" w:color="auto" w:sz="6" w:space="0"/>
            </w:tcBorders>
            <w:vAlign w:val="center"/>
          </w:tcPr>
          <w:p w14:paraId="7E0196BD">
            <w:pPr>
              <w:tabs>
                <w:tab w:val="left" w:pos="960"/>
              </w:tabs>
              <w:autoSpaceDE w:val="0"/>
              <w:autoSpaceDN w:val="0"/>
              <w:spacing w:line="280" w:lineRule="exact"/>
              <w:jc w:val="center"/>
              <w:rPr>
                <w:rFonts w:ascii="等线" w:hAnsi="等线" w:eastAsia="等线" w:cs="Times New Roman"/>
                <w:b/>
                <w:color w:val="000000" w:themeColor="text1"/>
                <w:sz w:val="18"/>
                <w:szCs w:val="18"/>
                <w:lang w:val="zh-CN" w:bidi="zh-CN"/>
                <w14:textFill>
                  <w14:solidFill>
                    <w14:schemeClr w14:val="tx1"/>
                  </w14:solidFill>
                </w14:textFill>
              </w:rPr>
            </w:pPr>
            <w:r>
              <w:rPr>
                <w:rFonts w:hint="eastAsia" w:ascii="等线" w:hAnsi="等线" w:eastAsia="等线" w:cs="宋体"/>
                <w:b/>
                <w:color w:val="000000" w:themeColor="text1"/>
                <w:kern w:val="0"/>
                <w:sz w:val="18"/>
                <w:szCs w:val="18"/>
                <w:lang w:val="zh-CN" w:bidi="zh-CN"/>
                <w14:textFill>
                  <w14:solidFill>
                    <w14:schemeClr w14:val="tx1"/>
                  </w14:solidFill>
                </w14:textFill>
              </w:rPr>
              <w:t>消防系统</w:t>
            </w:r>
          </w:p>
        </w:tc>
        <w:tc>
          <w:tcPr>
            <w:tcW w:w="1947" w:type="dxa"/>
            <w:tcBorders>
              <w:top w:val="single" w:color="auto" w:sz="6" w:space="0"/>
              <w:left w:val="single" w:color="auto" w:sz="6" w:space="0"/>
              <w:bottom w:val="single" w:color="auto" w:sz="6" w:space="0"/>
              <w:right w:val="single" w:color="auto" w:sz="6" w:space="0"/>
            </w:tcBorders>
          </w:tcPr>
          <w:p w14:paraId="2BB68783">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喷淋系统</w:t>
            </w:r>
          </w:p>
        </w:tc>
        <w:tc>
          <w:tcPr>
            <w:tcW w:w="3706" w:type="dxa"/>
            <w:tcBorders>
              <w:top w:val="single" w:color="auto" w:sz="6" w:space="0"/>
              <w:left w:val="single" w:color="auto" w:sz="6" w:space="0"/>
              <w:bottom w:val="single" w:color="auto" w:sz="6" w:space="0"/>
              <w:right w:val="single" w:color="auto" w:sz="6" w:space="0"/>
            </w:tcBorders>
          </w:tcPr>
          <w:p w14:paraId="122CF934">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根据竣工现状（毛坯交付标准）</w:t>
            </w:r>
          </w:p>
        </w:tc>
        <w:tc>
          <w:tcPr>
            <w:tcW w:w="1394" w:type="dxa"/>
            <w:tcBorders>
              <w:top w:val="single" w:color="auto" w:sz="6" w:space="0"/>
              <w:left w:val="single" w:color="auto" w:sz="6" w:space="0"/>
              <w:bottom w:val="single" w:color="auto" w:sz="6" w:space="0"/>
              <w:right w:val="single" w:color="auto" w:sz="12" w:space="0"/>
            </w:tcBorders>
          </w:tcPr>
          <w:p w14:paraId="64718F29">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4545DD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13" w:type="dxa"/>
            <w:vMerge w:val="continue"/>
            <w:tcBorders>
              <w:top w:val="single" w:color="auto" w:sz="6" w:space="0"/>
              <w:left w:val="single" w:color="auto" w:sz="12" w:space="0"/>
              <w:bottom w:val="single" w:color="auto" w:sz="6" w:space="0"/>
              <w:right w:val="single" w:color="auto" w:sz="6" w:space="0"/>
            </w:tcBorders>
            <w:vAlign w:val="center"/>
          </w:tcPr>
          <w:p w14:paraId="62307B3F">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7E38D911">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消防报警系统</w:t>
            </w:r>
          </w:p>
        </w:tc>
        <w:tc>
          <w:tcPr>
            <w:tcW w:w="3706" w:type="dxa"/>
            <w:tcBorders>
              <w:top w:val="single" w:color="auto" w:sz="6" w:space="0"/>
              <w:left w:val="single" w:color="auto" w:sz="6" w:space="0"/>
              <w:bottom w:val="single" w:color="auto" w:sz="6" w:space="0"/>
              <w:right w:val="single" w:color="auto" w:sz="6" w:space="0"/>
            </w:tcBorders>
          </w:tcPr>
          <w:p w14:paraId="1CA8474E">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根据竣工现状（毛坯交付标准）</w:t>
            </w:r>
          </w:p>
        </w:tc>
        <w:tc>
          <w:tcPr>
            <w:tcW w:w="1394" w:type="dxa"/>
            <w:tcBorders>
              <w:top w:val="single" w:color="auto" w:sz="6" w:space="0"/>
              <w:left w:val="single" w:color="auto" w:sz="6" w:space="0"/>
              <w:bottom w:val="single" w:color="auto" w:sz="6" w:space="0"/>
              <w:right w:val="single" w:color="auto" w:sz="12" w:space="0"/>
            </w:tcBorders>
          </w:tcPr>
          <w:p w14:paraId="3792074C">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11A0A6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13" w:type="dxa"/>
            <w:vMerge w:val="continue"/>
            <w:tcBorders>
              <w:top w:val="single" w:color="auto" w:sz="6" w:space="0"/>
              <w:left w:val="single" w:color="auto" w:sz="12" w:space="0"/>
              <w:bottom w:val="single" w:color="auto" w:sz="6" w:space="0"/>
              <w:right w:val="single" w:color="auto" w:sz="6" w:space="0"/>
            </w:tcBorders>
            <w:vAlign w:val="center"/>
          </w:tcPr>
          <w:p w14:paraId="0C53B0B9">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36822EBC">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灭火器</w:t>
            </w:r>
          </w:p>
        </w:tc>
        <w:tc>
          <w:tcPr>
            <w:tcW w:w="3706" w:type="dxa"/>
            <w:tcBorders>
              <w:top w:val="single" w:color="auto" w:sz="6" w:space="0"/>
              <w:left w:val="single" w:color="auto" w:sz="6" w:space="0"/>
              <w:bottom w:val="single" w:color="auto" w:sz="6" w:space="0"/>
              <w:right w:val="single" w:color="auto" w:sz="6" w:space="0"/>
            </w:tcBorders>
          </w:tcPr>
          <w:p w14:paraId="398316ED">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提供</w:t>
            </w:r>
          </w:p>
        </w:tc>
        <w:tc>
          <w:tcPr>
            <w:tcW w:w="1394" w:type="dxa"/>
            <w:tcBorders>
              <w:top w:val="single" w:color="auto" w:sz="6" w:space="0"/>
              <w:left w:val="single" w:color="auto" w:sz="6" w:space="0"/>
              <w:bottom w:val="single" w:color="auto" w:sz="6" w:space="0"/>
              <w:right w:val="single" w:color="auto" w:sz="12" w:space="0"/>
            </w:tcBorders>
          </w:tcPr>
          <w:p w14:paraId="7790E00F">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2F5154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13" w:type="dxa"/>
            <w:vMerge w:val="continue"/>
            <w:tcBorders>
              <w:top w:val="single" w:color="auto" w:sz="6" w:space="0"/>
              <w:left w:val="single" w:color="auto" w:sz="12" w:space="0"/>
              <w:bottom w:val="single" w:color="auto" w:sz="6" w:space="0"/>
              <w:right w:val="single" w:color="auto" w:sz="6" w:space="0"/>
            </w:tcBorders>
            <w:vAlign w:val="center"/>
          </w:tcPr>
          <w:p w14:paraId="2B6D1063">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2F45223D">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防排烟系统</w:t>
            </w:r>
          </w:p>
        </w:tc>
        <w:tc>
          <w:tcPr>
            <w:tcW w:w="3706" w:type="dxa"/>
            <w:tcBorders>
              <w:top w:val="single" w:color="auto" w:sz="6" w:space="0"/>
              <w:left w:val="single" w:color="auto" w:sz="6" w:space="0"/>
              <w:bottom w:val="single" w:color="auto" w:sz="6" w:space="0"/>
              <w:right w:val="single" w:color="auto" w:sz="6" w:space="0"/>
            </w:tcBorders>
          </w:tcPr>
          <w:p w14:paraId="50D9F1E1">
            <w:pPr>
              <w:tabs>
                <w:tab w:val="left" w:pos="960"/>
              </w:tabs>
              <w:autoSpaceDE w:val="0"/>
              <w:autoSpaceDN w:val="0"/>
              <w:spacing w:line="280" w:lineRule="exact"/>
              <w:jc w:val="lef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管道及风机安装入户，风机后的软连接及风口由商户自行安装</w:t>
            </w:r>
          </w:p>
        </w:tc>
        <w:tc>
          <w:tcPr>
            <w:tcW w:w="1394" w:type="dxa"/>
            <w:tcBorders>
              <w:top w:val="single" w:color="auto" w:sz="6" w:space="0"/>
              <w:left w:val="single" w:color="auto" w:sz="6" w:space="0"/>
              <w:bottom w:val="single" w:color="auto" w:sz="6" w:space="0"/>
              <w:right w:val="single" w:color="auto" w:sz="12" w:space="0"/>
            </w:tcBorders>
          </w:tcPr>
          <w:p w14:paraId="768B500A">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50418A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13" w:type="dxa"/>
            <w:vMerge w:val="continue"/>
            <w:tcBorders>
              <w:top w:val="single" w:color="auto" w:sz="6" w:space="0"/>
              <w:left w:val="single" w:color="auto" w:sz="12" w:space="0"/>
              <w:bottom w:val="single" w:color="auto" w:sz="6" w:space="0"/>
              <w:right w:val="single" w:color="auto" w:sz="6" w:space="0"/>
            </w:tcBorders>
            <w:vAlign w:val="center"/>
          </w:tcPr>
          <w:p w14:paraId="47226209">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133A7F36">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消防栓箱</w:t>
            </w:r>
          </w:p>
        </w:tc>
        <w:tc>
          <w:tcPr>
            <w:tcW w:w="3706" w:type="dxa"/>
            <w:tcBorders>
              <w:top w:val="single" w:color="auto" w:sz="6" w:space="0"/>
              <w:left w:val="single" w:color="auto" w:sz="6" w:space="0"/>
              <w:bottom w:val="single" w:color="auto" w:sz="6" w:space="0"/>
              <w:right w:val="single" w:color="auto" w:sz="6" w:space="0"/>
            </w:tcBorders>
          </w:tcPr>
          <w:p w14:paraId="29241B5D">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按照消防规定配置</w:t>
            </w:r>
          </w:p>
        </w:tc>
        <w:tc>
          <w:tcPr>
            <w:tcW w:w="1394" w:type="dxa"/>
            <w:tcBorders>
              <w:top w:val="single" w:color="auto" w:sz="6" w:space="0"/>
              <w:left w:val="single" w:color="auto" w:sz="6" w:space="0"/>
              <w:bottom w:val="single" w:color="auto" w:sz="6" w:space="0"/>
              <w:right w:val="single" w:color="auto" w:sz="12" w:space="0"/>
            </w:tcBorders>
          </w:tcPr>
          <w:p w14:paraId="16E1EED1">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03FF9D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13" w:type="dxa"/>
            <w:vMerge w:val="restart"/>
            <w:tcBorders>
              <w:top w:val="single" w:color="auto" w:sz="6" w:space="0"/>
              <w:left w:val="single" w:color="auto" w:sz="12" w:space="0"/>
              <w:bottom w:val="single" w:color="auto" w:sz="6" w:space="0"/>
              <w:right w:val="single" w:color="auto" w:sz="6" w:space="0"/>
            </w:tcBorders>
            <w:vAlign w:val="center"/>
          </w:tcPr>
          <w:p w14:paraId="5BA4C709">
            <w:pPr>
              <w:tabs>
                <w:tab w:val="left" w:pos="960"/>
              </w:tabs>
              <w:autoSpaceDE w:val="0"/>
              <w:autoSpaceDN w:val="0"/>
              <w:spacing w:line="280" w:lineRule="exact"/>
              <w:jc w:val="center"/>
              <w:rPr>
                <w:rFonts w:ascii="等线" w:hAnsi="等线" w:eastAsia="等线" w:cs="Times New Roman"/>
                <w:b/>
                <w:color w:val="000000" w:themeColor="text1"/>
                <w:sz w:val="18"/>
                <w:szCs w:val="18"/>
                <w:lang w:val="zh-CN" w:bidi="zh-CN"/>
                <w14:textFill>
                  <w14:solidFill>
                    <w14:schemeClr w14:val="tx1"/>
                  </w14:solidFill>
                </w14:textFill>
              </w:rPr>
            </w:pPr>
            <w:r>
              <w:rPr>
                <w:rFonts w:hint="eastAsia" w:ascii="等线" w:hAnsi="等线" w:eastAsia="等线" w:cs="宋体"/>
                <w:b/>
                <w:color w:val="000000" w:themeColor="text1"/>
                <w:kern w:val="0"/>
                <w:sz w:val="18"/>
                <w:szCs w:val="18"/>
                <w:lang w:val="zh-CN" w:bidi="zh-CN"/>
                <w14:textFill>
                  <w14:solidFill>
                    <w14:schemeClr w14:val="tx1"/>
                  </w14:solidFill>
                </w14:textFill>
              </w:rPr>
              <w:t>强电系统</w:t>
            </w:r>
          </w:p>
        </w:tc>
        <w:tc>
          <w:tcPr>
            <w:tcW w:w="1947" w:type="dxa"/>
            <w:tcBorders>
              <w:top w:val="single" w:color="auto" w:sz="6" w:space="0"/>
              <w:left w:val="single" w:color="auto" w:sz="6" w:space="0"/>
              <w:bottom w:val="single" w:color="auto" w:sz="6" w:space="0"/>
              <w:right w:val="single" w:color="auto" w:sz="6" w:space="0"/>
            </w:tcBorders>
          </w:tcPr>
          <w:p w14:paraId="10694FAE">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电缆/断路器/户箱</w:t>
            </w:r>
          </w:p>
        </w:tc>
        <w:tc>
          <w:tcPr>
            <w:tcW w:w="3706" w:type="dxa"/>
            <w:tcBorders>
              <w:top w:val="single" w:color="auto" w:sz="6" w:space="0"/>
              <w:left w:val="single" w:color="auto" w:sz="6" w:space="0"/>
              <w:bottom w:val="single" w:color="auto" w:sz="6" w:space="0"/>
              <w:right w:val="single" w:color="auto" w:sz="6" w:space="0"/>
            </w:tcBorders>
          </w:tcPr>
          <w:p w14:paraId="7FAA4D7E">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接驳点入户（提供配电箱/柜，电表）</w:t>
            </w:r>
          </w:p>
        </w:tc>
        <w:tc>
          <w:tcPr>
            <w:tcW w:w="1394" w:type="dxa"/>
            <w:tcBorders>
              <w:top w:val="single" w:color="auto" w:sz="6" w:space="0"/>
              <w:left w:val="single" w:color="auto" w:sz="6" w:space="0"/>
              <w:bottom w:val="single" w:color="auto" w:sz="6" w:space="0"/>
              <w:right w:val="single" w:color="auto" w:sz="12" w:space="0"/>
            </w:tcBorders>
          </w:tcPr>
          <w:p w14:paraId="47D513A5">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05060B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13" w:type="dxa"/>
            <w:vMerge w:val="continue"/>
            <w:tcBorders>
              <w:top w:val="single" w:color="auto" w:sz="6" w:space="0"/>
              <w:left w:val="single" w:color="auto" w:sz="12" w:space="0"/>
              <w:bottom w:val="single" w:color="auto" w:sz="6" w:space="0"/>
              <w:right w:val="single" w:color="auto" w:sz="6" w:space="0"/>
            </w:tcBorders>
            <w:vAlign w:val="center"/>
          </w:tcPr>
          <w:p w14:paraId="000894C0">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746441B5">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电量参数</w:t>
            </w:r>
          </w:p>
        </w:tc>
        <w:tc>
          <w:tcPr>
            <w:tcW w:w="3706" w:type="dxa"/>
            <w:tcBorders>
              <w:top w:val="single" w:color="auto" w:sz="6" w:space="0"/>
              <w:left w:val="single" w:color="auto" w:sz="6" w:space="0"/>
              <w:bottom w:val="single" w:color="auto" w:sz="6" w:space="0"/>
              <w:right w:val="single" w:color="auto" w:sz="6" w:space="0"/>
            </w:tcBorders>
          </w:tcPr>
          <w:p w14:paraId="7EB88AEB">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根据项目设计复核的冷量提供</w:t>
            </w:r>
          </w:p>
        </w:tc>
        <w:tc>
          <w:tcPr>
            <w:tcW w:w="1394" w:type="dxa"/>
            <w:tcBorders>
              <w:top w:val="single" w:color="auto" w:sz="6" w:space="0"/>
              <w:left w:val="single" w:color="auto" w:sz="6" w:space="0"/>
              <w:bottom w:val="single" w:color="auto" w:sz="6" w:space="0"/>
              <w:right w:val="single" w:color="auto" w:sz="12" w:space="0"/>
            </w:tcBorders>
          </w:tcPr>
          <w:p w14:paraId="707D33DA">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049D55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13" w:type="dxa"/>
            <w:vMerge w:val="continue"/>
            <w:tcBorders>
              <w:top w:val="single" w:color="auto" w:sz="6" w:space="0"/>
              <w:left w:val="single" w:color="auto" w:sz="12" w:space="0"/>
              <w:bottom w:val="single" w:color="auto" w:sz="6" w:space="0"/>
              <w:right w:val="single" w:color="auto" w:sz="6" w:space="0"/>
            </w:tcBorders>
            <w:vAlign w:val="center"/>
          </w:tcPr>
          <w:p w14:paraId="2C7790F9">
            <w:pPr>
              <w:widowControl/>
              <w:autoSpaceDE w:val="0"/>
              <w:autoSpaceDN w:val="0"/>
              <w:jc w:val="left"/>
              <w:rPr>
                <w:rFonts w:ascii="等线" w:hAnsi="等线" w:eastAsia="等线" w:cs="Times New Roman"/>
                <w:b/>
                <w:color w:val="000000" w:themeColor="text1"/>
                <w:sz w:val="18"/>
                <w:szCs w:val="18"/>
                <w:lang w:val="zh-CN" w:bidi="zh-CN"/>
                <w14:textFill>
                  <w14:solidFill>
                    <w14:schemeClr w14:val="tx1"/>
                  </w14:solidFill>
                </w14:textFill>
              </w:rPr>
            </w:pPr>
          </w:p>
        </w:tc>
        <w:tc>
          <w:tcPr>
            <w:tcW w:w="1947" w:type="dxa"/>
            <w:tcBorders>
              <w:top w:val="single" w:color="auto" w:sz="6" w:space="0"/>
              <w:left w:val="single" w:color="auto" w:sz="6" w:space="0"/>
              <w:bottom w:val="single" w:color="auto" w:sz="6" w:space="0"/>
              <w:right w:val="single" w:color="auto" w:sz="6" w:space="0"/>
            </w:tcBorders>
          </w:tcPr>
          <w:p w14:paraId="35DB2282">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应急电源</w:t>
            </w:r>
          </w:p>
        </w:tc>
        <w:tc>
          <w:tcPr>
            <w:tcW w:w="3706" w:type="dxa"/>
            <w:tcBorders>
              <w:top w:val="single" w:color="auto" w:sz="6" w:space="0"/>
              <w:left w:val="single" w:color="auto" w:sz="6" w:space="0"/>
              <w:bottom w:val="single" w:color="auto" w:sz="6" w:space="0"/>
              <w:right w:val="single" w:color="auto" w:sz="6" w:space="0"/>
            </w:tcBorders>
          </w:tcPr>
          <w:p w14:paraId="540F6DCB">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bidi="zh-CN"/>
                <w14:textFill>
                  <w14:solidFill>
                    <w14:schemeClr w14:val="tx1"/>
                  </w14:solidFill>
                </w14:textFill>
              </w:rPr>
              <w:t>提供</w:t>
            </w:r>
            <w:r>
              <w:rPr>
                <w:rFonts w:hint="eastAsia" w:ascii="等线" w:hAnsi="等线" w:eastAsia="等线" w:cs="宋体"/>
                <w:color w:val="000000" w:themeColor="text1"/>
                <w:kern w:val="0"/>
                <w:sz w:val="18"/>
                <w:szCs w:val="18"/>
                <w:lang w:val="zh-CN" w:bidi="zh-CN"/>
                <w14:textFill>
                  <w14:solidFill>
                    <w14:schemeClr w14:val="tx1"/>
                  </w14:solidFill>
                </w14:textFill>
              </w:rPr>
              <w:t>应急照明，不提供应急电源</w:t>
            </w:r>
          </w:p>
        </w:tc>
        <w:tc>
          <w:tcPr>
            <w:tcW w:w="1394" w:type="dxa"/>
            <w:tcBorders>
              <w:top w:val="single" w:color="auto" w:sz="6" w:space="0"/>
              <w:left w:val="single" w:color="auto" w:sz="6" w:space="0"/>
              <w:bottom w:val="single" w:color="auto" w:sz="6" w:space="0"/>
              <w:right w:val="single" w:color="auto" w:sz="12" w:space="0"/>
            </w:tcBorders>
          </w:tcPr>
          <w:p w14:paraId="7D9F2013">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r w14:paraId="558A81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 w:hRule="atLeast"/>
        </w:trPr>
        <w:tc>
          <w:tcPr>
            <w:tcW w:w="1213" w:type="dxa"/>
            <w:tcBorders>
              <w:top w:val="single" w:color="auto" w:sz="6" w:space="0"/>
              <w:left w:val="single" w:color="auto" w:sz="12" w:space="0"/>
              <w:bottom w:val="single" w:color="auto" w:sz="12" w:space="0"/>
              <w:right w:val="single" w:color="auto" w:sz="6" w:space="0"/>
            </w:tcBorders>
            <w:vAlign w:val="center"/>
          </w:tcPr>
          <w:p w14:paraId="20E20C98">
            <w:pPr>
              <w:tabs>
                <w:tab w:val="left" w:pos="960"/>
              </w:tabs>
              <w:autoSpaceDE w:val="0"/>
              <w:autoSpaceDN w:val="0"/>
              <w:spacing w:line="280" w:lineRule="exact"/>
              <w:jc w:val="center"/>
              <w:rPr>
                <w:rFonts w:ascii="等线" w:hAnsi="等线" w:eastAsia="等线" w:cs="Times New Roman"/>
                <w:b/>
                <w:color w:val="000000" w:themeColor="text1"/>
                <w:sz w:val="18"/>
                <w:szCs w:val="18"/>
                <w:lang w:val="zh-CN" w:bidi="zh-CN"/>
                <w14:textFill>
                  <w14:solidFill>
                    <w14:schemeClr w14:val="tx1"/>
                  </w14:solidFill>
                </w14:textFill>
              </w:rPr>
            </w:pPr>
            <w:r>
              <w:rPr>
                <w:rFonts w:hint="eastAsia" w:ascii="等线" w:hAnsi="等线" w:eastAsia="等线" w:cs="宋体"/>
                <w:b/>
                <w:color w:val="000000" w:themeColor="text1"/>
                <w:kern w:val="0"/>
                <w:sz w:val="18"/>
                <w:szCs w:val="18"/>
                <w:lang w:val="zh-CN" w:bidi="zh-CN"/>
                <w14:textFill>
                  <w14:solidFill>
                    <w14:schemeClr w14:val="tx1"/>
                  </w14:solidFill>
                </w14:textFill>
              </w:rPr>
              <w:t>弱电系统</w:t>
            </w:r>
          </w:p>
        </w:tc>
        <w:tc>
          <w:tcPr>
            <w:tcW w:w="1947" w:type="dxa"/>
            <w:tcBorders>
              <w:top w:val="single" w:color="auto" w:sz="6" w:space="0"/>
              <w:left w:val="single" w:color="auto" w:sz="6" w:space="0"/>
              <w:bottom w:val="single" w:color="auto" w:sz="12" w:space="0"/>
              <w:right w:val="single" w:color="auto" w:sz="6" w:space="0"/>
            </w:tcBorders>
          </w:tcPr>
          <w:p w14:paraId="03A6E1BE">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广播系统</w:t>
            </w:r>
          </w:p>
        </w:tc>
        <w:tc>
          <w:tcPr>
            <w:tcW w:w="3706" w:type="dxa"/>
            <w:tcBorders>
              <w:top w:val="single" w:color="auto" w:sz="6" w:space="0"/>
              <w:left w:val="single" w:color="auto" w:sz="6" w:space="0"/>
              <w:bottom w:val="single" w:color="auto" w:sz="12" w:space="0"/>
              <w:right w:val="single" w:color="auto" w:sz="6" w:space="0"/>
            </w:tcBorders>
          </w:tcPr>
          <w:p w14:paraId="7C647162">
            <w:pPr>
              <w:tabs>
                <w:tab w:val="left" w:pos="960"/>
              </w:tabs>
              <w:autoSpaceDE w:val="0"/>
              <w:autoSpaceDN w:val="0"/>
              <w:spacing w:line="280" w:lineRule="exact"/>
              <w:rPr>
                <w:rFonts w:ascii="等线" w:hAnsi="等线" w:eastAsia="等线" w:cs="Times New Roman"/>
                <w:color w:val="000000" w:themeColor="text1"/>
                <w:sz w:val="18"/>
                <w:szCs w:val="18"/>
                <w:lang w:val="zh-CN" w:bidi="zh-CN"/>
                <w14:textFill>
                  <w14:solidFill>
                    <w14:schemeClr w14:val="tx1"/>
                  </w14:solidFill>
                </w14:textFill>
              </w:rPr>
            </w:pPr>
            <w:r>
              <w:rPr>
                <w:rFonts w:hint="eastAsia" w:ascii="等线" w:hAnsi="等线" w:eastAsia="等线" w:cs="宋体"/>
                <w:color w:val="000000" w:themeColor="text1"/>
                <w:kern w:val="0"/>
                <w:sz w:val="18"/>
                <w:szCs w:val="18"/>
                <w:lang w:val="zh-CN" w:bidi="zh-CN"/>
                <w14:textFill>
                  <w14:solidFill>
                    <w14:schemeClr w14:val="tx1"/>
                  </w14:solidFill>
                </w14:textFill>
              </w:rPr>
              <w:t>提供公区、开放区广播系统</w:t>
            </w:r>
          </w:p>
        </w:tc>
        <w:tc>
          <w:tcPr>
            <w:tcW w:w="1394" w:type="dxa"/>
            <w:tcBorders>
              <w:top w:val="single" w:color="auto" w:sz="6" w:space="0"/>
              <w:left w:val="single" w:color="auto" w:sz="6" w:space="0"/>
              <w:bottom w:val="single" w:color="auto" w:sz="12" w:space="0"/>
              <w:right w:val="single" w:color="auto" w:sz="12" w:space="0"/>
            </w:tcBorders>
          </w:tcPr>
          <w:p w14:paraId="55B7C334">
            <w:pPr>
              <w:tabs>
                <w:tab w:val="left" w:pos="960"/>
              </w:tabs>
              <w:autoSpaceDE w:val="0"/>
              <w:autoSpaceDN w:val="0"/>
              <w:spacing w:line="280" w:lineRule="exact"/>
              <w:ind w:firstLine="360"/>
              <w:rPr>
                <w:rFonts w:ascii="等线" w:hAnsi="等线" w:eastAsia="等线" w:cs="Times New Roman"/>
                <w:color w:val="000000" w:themeColor="text1"/>
                <w:sz w:val="18"/>
                <w:szCs w:val="18"/>
                <w:lang w:val="zh-CN" w:bidi="zh-CN"/>
                <w14:textFill>
                  <w14:solidFill>
                    <w14:schemeClr w14:val="tx1"/>
                  </w14:solidFill>
                </w14:textFill>
              </w:rPr>
            </w:pPr>
          </w:p>
        </w:tc>
      </w:tr>
    </w:tbl>
    <w:p w14:paraId="451DEDAA">
      <w:pP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br w:type="page"/>
      </w:r>
    </w:p>
    <w:p w14:paraId="5E632320">
      <w:pPr>
        <w:spacing w:line="400" w:lineRule="exact"/>
        <w:rPr>
          <w:rFonts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 xml:space="preserve">附件4 </w:t>
      </w:r>
    </w:p>
    <w:p w14:paraId="0C970819">
      <w:pPr>
        <w:spacing w:line="400" w:lineRule="exact"/>
        <w:jc w:val="center"/>
        <w:rPr>
          <w:rFonts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预付卡管理协议</w:t>
      </w:r>
    </w:p>
    <w:p w14:paraId="2F1354B5">
      <w:pPr>
        <w:spacing w:line="400" w:lineRule="exact"/>
        <w:rPr>
          <w:rFonts w:ascii="宋体" w:hAnsi="宋体" w:eastAsia="宋体" w:cs="宋体"/>
          <w:color w:val="000000" w:themeColor="text1"/>
          <w:szCs w:val="21"/>
          <w14:textFill>
            <w14:solidFill>
              <w14:schemeClr w14:val="tx1"/>
            </w14:solidFill>
          </w14:textFill>
        </w:rPr>
      </w:pPr>
    </w:p>
    <w:p w14:paraId="56C43137">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出租人（甲方）：金华市多湖里资产经营有限公司</w:t>
      </w:r>
    </w:p>
    <w:p w14:paraId="6AB1996B">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承租人（乙方）：</w:t>
      </w:r>
      <w:r>
        <w:rPr>
          <w:rFonts w:hint="eastAsia" w:ascii="宋体" w:hAnsi="宋体" w:eastAsia="宋体" w:cs="宋体"/>
          <w:color w:val="000000" w:themeColor="text1"/>
          <w:szCs w:val="21"/>
          <w:u w:val="single"/>
          <w14:textFill>
            <w14:solidFill>
              <w14:schemeClr w14:val="tx1"/>
            </w14:solidFill>
          </w14:textFill>
        </w:rPr>
        <w:t xml:space="preserve">                            </w:t>
      </w:r>
    </w:p>
    <w:p w14:paraId="0873C39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为加强乙方发行、销售预付卡（券）（包含但不限于通过预付费方式形成的会员协议/预付费服务协议、会员卡、预付卡、折扣卡、代金券等，以下统称“预付卡”）管理，维护消费者权益，经友好协商，就乙方发行、销售预付卡事宜，达成本协议，以资遵守。</w:t>
      </w:r>
    </w:p>
    <w:p w14:paraId="66348402">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一、乙方在租赁场所发行、销售任何预付卡的，应事先向甲方提出书面申请，书面申请中应明确会员协议或预付费服务协议、预付卡章程、预付卡种类、卡券样式、拟发布数量、有效期及使用方法等内容，并经甲方书面同意且乙方向甲方交纳预付卡保证金后，方可发行预付卡，否则，构成乙方违约，甲方有权解除合同。</w:t>
      </w:r>
    </w:p>
    <w:p w14:paraId="3D1A7EE0">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除非法律另有规定，本协议项下，购买、持有、有权使用预付卡的企业、自然人以及与乙方签署会员协议/预付费服务协议的企业、自然人及享受服务的相关权利主体统称为“消费者”。</w:t>
      </w:r>
    </w:p>
    <w:p w14:paraId="4A5FAF09">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二、乙方承诺遵守《单用途商业预付卡管理办法》或《非金融机构支付服务管理办法》等法律法规要求以及国家、地方主管部门关于预付费服务协议的相关规范性文件和管理性要求，依法履行备案、许可、发行、服务、资金管理等相关法律责任，承担相关法律法规规定的发卡企业/售卡企业的主体责任与合同责任。乙方在向甲方提出书面申请时，应同时提供主管部门备案/许可文件（如需）。</w:t>
      </w:r>
    </w:p>
    <w:p w14:paraId="092B1826">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如乙方为《单用途商业预付卡管理办法》所规定的规模发卡企业、集团发卡企业和品牌发卡企业，应同时向甲方提交其与存管银行签订的资金存管协议。</w:t>
      </w:r>
    </w:p>
    <w:p w14:paraId="42602B77">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如乙方发行《非金融机构支付服务管理办法》所规定的多用途预付卡，应同时向甲方提供其客户备付金专用存款账户相关信息。</w:t>
      </w:r>
    </w:p>
    <w:p w14:paraId="5BF19A1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三、乙方发行、销售预付卡时，如需要与消费者签订相关服务协议的，内容须包括预付卡类型、卡券样式、卡券面值、使用范围、使用方法、优惠政策、卡券有效期、退卡退款方式及挂失办法、纠纷处理原则和违约责任等，服务协议文本需提前提交甲方备案，且乙方须以备案的服务协议与消费者签署。</w:t>
      </w:r>
    </w:p>
    <w:p w14:paraId="3083BFA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如乙方不与消费者签订服务协议的，乙方须向甲方提交预付卡章程等相关文件备案，文件内容须包括卡券类型、卡券样式、卡券面值、使用范围、使用方法、优惠政策、卡券有效期、退卡退款方式及挂失办法、纠纷处理原则和违约责任等。</w:t>
      </w:r>
    </w:p>
    <w:p w14:paraId="71F24B6E">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四、乙方须在发卡、销售前，在租赁场所显著位置公示预付卡的服务协议、章程或其主要内容（包括预付卡类型、卡券面值、使用范围、使用方法、优惠政策、卡券有效期、退卡退款方式、挂失/转让办法、纠纷处理原则和违约责任等）。</w:t>
      </w:r>
    </w:p>
    <w:p w14:paraId="62B9D487">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五、租赁合同存续期间，乙方每月5日前向甲方提交预付卡销售数量、销售金额、已消费金额、未消费金额、开卡时间及有效期限等信息且甲方有权对乙方提交的资料进行核查。</w:t>
      </w:r>
    </w:p>
    <w:p w14:paraId="55D0BCB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六、如甲方收到消费者针对预付卡使用的投诉，乙方应在接到甲方通知后2日内依法妥善处理完毕；如甲方接到乙方的预付卡类投诉月累计达5次或以上，甲方有权要求乙方在租赁场所停止发行、销售预付卡。</w:t>
      </w:r>
    </w:p>
    <w:p w14:paraId="462A4F2D">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七、乙方除按照《单用途商业预付卡管理办法（试行）》要求在预付卡终止兑付日前至少30日在备案机关指定的媒体上进行公示，还应在终止营业日前在租赁场所的显著位置不间断展示公告，告知有关终止营业时间、发行、销售的卡券处理办法及搬迁后的联系人、联系电话、地址等信息，并采取其他合理方式（包含但不限于电话、短信、邮件、微信等方式）通知消费者，在租赁场地交还期届满前办理完毕所有需退卡退款、终止协议事宜，并将办理完毕的证明文件（如所有消费者的完整名单及已签署的退卡退款协议、终止协议、消费者退卡确认文件等）提供给甲方。</w:t>
      </w:r>
    </w:p>
    <w:p w14:paraId="64C0E4D0">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如乙方为企业集团或同一品牌特许经营体系内的企业，可以将预付卡余额或预付费服务协议消费余额转移至同一企业集团或同一品牌特许经营体系内的其他企业继续使用，或者乙方可将其发行、销售的预付卡余额或预付费服务协议消费余额转至其他企业继续使用。存在前述情形且在消费者同意的前提下，乙方应在租赁场地交还期届满前办理完毕所有转移所需内外部事宜，并将办理完毕的证明文件（如同意转移至其他品牌、其他企业的消费者的完整名单以及已签署的同意确认文件、第三方企业同意接收乙方预付卡的生效协议或承诺函等）提供给甲方。如消费者不同意转移，乙方应无条件依据前款规定办理退卡退款。</w:t>
      </w:r>
    </w:p>
    <w:p w14:paraId="4E6A25D2">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八、乙方提供上述证明文件并经甲方确认后，甲方于30日内向乙方返还发卡保证金；如乙方不能提供上述证明文件，则在乙方撤店后六个月且无相关纠纷的情况下，甲方予以返还发卡保证金；如有乙方预付卡的未决纠纷，甲方有权根据实际情况延期返还或不予返还发卡保证金，且乙方须赔偿因未决纠纷对甲方造成的所有相关损失。</w:t>
      </w:r>
    </w:p>
    <w:p w14:paraId="5A70E1A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九、乙方交还租赁场所后，如任何第三方因乙方发行、销售的预付卡提出赔偿要求，乙方应自行承担全部责任，甲方对此不承担任何责任。甲方有权因此拒绝返还发卡保证金，直至乙方处理完毕其与所有第三方的争议为止。如乙方未按本协议约定妥善处理预付卡兑付、使用及/或退费等事宜的，甲方有权（权利非义务）代乙方处理相关纠纷并从发卡保证金中扣除因此产生的费用。</w:t>
      </w:r>
    </w:p>
    <w:p w14:paraId="3317982F">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十、乙方发行、销售任何预付卡的，应严格遵守国家、地方及行业的相关法律、法规、规章及其他规范性文件，否则，构成乙方违约，因此引发的处罚及责任全部由乙方自行承担，与甲方无关，并且甲方有权据此解除租赁合同并追究乙方违约责任。</w:t>
      </w:r>
    </w:p>
    <w:p w14:paraId="7582D1CC">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十一、租赁期限内，乙方应以自己名义对外发行、销售预付卡，不得在预付卡卡面、券面、协议上使用“多湖里</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”的文字、商标、拼音、字母、图形及标示等，也不得以任何明示或暗示方式让消费者混淆、误认乙方发行、销售的预付卡与甲方存在任何关联。</w:t>
      </w:r>
    </w:p>
    <w:p w14:paraId="35202F7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十二、本协议是《租赁合同》的组成部分，与《租赁合同》具有同等效力；如两者在预付卡条款方面不一致，以本协议约定为准；本协议未约定事项，仍执行《租赁合同》约定。</w:t>
      </w:r>
    </w:p>
    <w:p w14:paraId="5FC381E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十三、如甲、乙双方因签订和履行本协议发生争议，协商不成的，按《租赁合同》约定的争议解决方式处理。</w:t>
      </w:r>
    </w:p>
    <w:p w14:paraId="724C9F0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十四、本协议自甲乙双方加盖公章（乙方为自然人的签字生效）之日起生效；一式叁份，甲方执贰份，乙方执壹份，具有同等法律效力。</w:t>
      </w:r>
    </w:p>
    <w:p w14:paraId="62354FD4">
      <w:pPr>
        <w:spacing w:line="400" w:lineRule="exact"/>
        <w:rPr>
          <w:rFonts w:ascii="宋体" w:hAnsi="宋体" w:eastAsia="宋体" w:cs="宋体"/>
          <w:color w:val="000000" w:themeColor="text1"/>
          <w:szCs w:val="21"/>
          <w14:textFill>
            <w14:solidFill>
              <w14:schemeClr w14:val="tx1"/>
            </w14:solidFill>
          </w14:textFill>
        </w:rPr>
      </w:pPr>
    </w:p>
    <w:p w14:paraId="798B8DCA">
      <w:pPr>
        <w:spacing w:line="400" w:lineRule="exact"/>
        <w:rPr>
          <w:rFonts w:ascii="宋体" w:hAnsi="宋体" w:eastAsia="宋体" w:cs="宋体"/>
          <w:color w:val="000000" w:themeColor="text1"/>
          <w:szCs w:val="21"/>
          <w14:textFill>
            <w14:solidFill>
              <w14:schemeClr w14:val="tx1"/>
            </w14:solidFill>
          </w14:textFill>
        </w:rPr>
      </w:pPr>
    </w:p>
    <w:p w14:paraId="5C7305CE">
      <w:pPr>
        <w:spacing w:line="400" w:lineRule="exact"/>
        <w:rPr>
          <w:rFonts w:ascii="宋体" w:hAnsi="宋体" w:eastAsia="宋体" w:cs="宋体"/>
          <w:color w:val="000000" w:themeColor="text1"/>
          <w:szCs w:val="21"/>
          <w14:textFill>
            <w14:solidFill>
              <w14:schemeClr w14:val="tx1"/>
            </w14:solidFill>
          </w14:textFill>
        </w:rPr>
      </w:pPr>
    </w:p>
    <w:p w14:paraId="62398EBD">
      <w:pPr>
        <w:spacing w:line="400" w:lineRule="exact"/>
        <w:rPr>
          <w:rFonts w:ascii="宋体" w:hAnsi="宋体" w:eastAsia="宋体" w:cs="宋体"/>
          <w:color w:val="000000" w:themeColor="text1"/>
          <w:szCs w:val="21"/>
          <w14:textFill>
            <w14:solidFill>
              <w14:schemeClr w14:val="tx1"/>
            </w14:solidFill>
          </w14:textFill>
        </w:rPr>
      </w:pPr>
    </w:p>
    <w:p w14:paraId="6D4D7954">
      <w:pPr>
        <w:spacing w:line="400" w:lineRule="exact"/>
        <w:rPr>
          <w:rFonts w:ascii="宋体" w:hAnsi="宋体" w:eastAsia="宋体" w:cs="宋体"/>
          <w:color w:val="000000" w:themeColor="text1"/>
          <w:szCs w:val="21"/>
          <w14:textFill>
            <w14:solidFill>
              <w14:schemeClr w14:val="tx1"/>
            </w14:solidFill>
          </w14:textFill>
        </w:rPr>
      </w:pPr>
    </w:p>
    <w:p w14:paraId="10AC156E">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【本页为签署页】</w:t>
      </w:r>
    </w:p>
    <w:p w14:paraId="3012B788">
      <w:pPr>
        <w:spacing w:line="400" w:lineRule="exact"/>
        <w:rPr>
          <w:rFonts w:ascii="宋体" w:hAnsi="宋体" w:eastAsia="宋体" w:cs="宋体"/>
          <w:color w:val="000000" w:themeColor="text1"/>
          <w:szCs w:val="21"/>
          <w14:textFill>
            <w14:solidFill>
              <w14:schemeClr w14:val="tx1"/>
            </w14:solidFill>
          </w14:textFill>
        </w:rPr>
      </w:pPr>
    </w:p>
    <w:p w14:paraId="5EF222A8">
      <w:pPr>
        <w:spacing w:line="400" w:lineRule="exact"/>
        <w:rPr>
          <w:rFonts w:ascii="宋体" w:hAnsi="宋体" w:eastAsia="宋体" w:cs="宋体"/>
          <w:color w:val="000000" w:themeColor="text1"/>
          <w:szCs w:val="21"/>
          <w14:textFill>
            <w14:solidFill>
              <w14:schemeClr w14:val="tx1"/>
            </w14:solidFill>
          </w14:textFill>
        </w:rPr>
      </w:pPr>
    </w:p>
    <w:p w14:paraId="5D4ABC75">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甲方（盖章）：金华市多湖里资产经营有限公司</w:t>
      </w:r>
    </w:p>
    <w:p w14:paraId="39A22322">
      <w:pPr>
        <w:spacing w:line="400" w:lineRule="exact"/>
        <w:rPr>
          <w:rFonts w:ascii="宋体" w:hAnsi="宋体" w:eastAsia="宋体" w:cs="宋体"/>
          <w:color w:val="000000" w:themeColor="text1"/>
          <w:szCs w:val="21"/>
          <w14:textFill>
            <w14:solidFill>
              <w14:schemeClr w14:val="tx1"/>
            </w14:solidFill>
          </w14:textFill>
        </w:rPr>
      </w:pPr>
    </w:p>
    <w:p w14:paraId="456BE85A">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法人（签字）：</w:t>
      </w:r>
      <w:r>
        <w:rPr>
          <w:rFonts w:hint="eastAsia" w:ascii="宋体" w:hAnsi="宋体" w:eastAsia="宋体" w:cs="宋体"/>
          <w:color w:val="000000" w:themeColor="text1"/>
          <w:szCs w:val="21"/>
          <w:u w:val="single"/>
          <w14:textFill>
            <w14:solidFill>
              <w14:schemeClr w14:val="tx1"/>
            </w14:solidFill>
          </w14:textFill>
        </w:rPr>
        <w:t xml:space="preserve">                               </w:t>
      </w:r>
    </w:p>
    <w:p w14:paraId="0FE5877F">
      <w:pPr>
        <w:spacing w:line="400" w:lineRule="exact"/>
        <w:rPr>
          <w:rFonts w:ascii="宋体" w:hAnsi="宋体" w:eastAsia="宋体" w:cs="宋体"/>
          <w:color w:val="000000" w:themeColor="text1"/>
          <w:szCs w:val="21"/>
          <w14:textFill>
            <w14:solidFill>
              <w14:schemeClr w14:val="tx1"/>
            </w14:solidFill>
          </w14:textFill>
        </w:rPr>
      </w:pPr>
    </w:p>
    <w:p w14:paraId="76C53812">
      <w:pPr>
        <w:spacing w:line="400" w:lineRule="exact"/>
        <w:rPr>
          <w:rFonts w:ascii="宋体" w:hAnsi="宋体" w:eastAsia="宋体" w:cs="宋体"/>
          <w:color w:val="000000" w:themeColor="text1"/>
          <w:szCs w:val="21"/>
          <w14:textFill>
            <w14:solidFill>
              <w14:schemeClr w14:val="tx1"/>
            </w14:solidFill>
          </w14:textFill>
        </w:rPr>
      </w:pPr>
    </w:p>
    <w:p w14:paraId="2F1C4989">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乙方（盖章）：</w:t>
      </w:r>
      <w:r>
        <w:rPr>
          <w:rFonts w:hint="eastAsia" w:ascii="宋体" w:hAnsi="宋体" w:eastAsia="宋体" w:cs="宋体"/>
          <w:color w:val="000000" w:themeColor="text1"/>
          <w:szCs w:val="21"/>
          <w:u w:val="single"/>
          <w14:textFill>
            <w14:solidFill>
              <w14:schemeClr w14:val="tx1"/>
            </w14:solidFill>
          </w14:textFill>
        </w:rPr>
        <w:t xml:space="preserve">                                </w:t>
      </w:r>
    </w:p>
    <w:p w14:paraId="73E3EE61">
      <w:pPr>
        <w:spacing w:line="400" w:lineRule="exact"/>
        <w:rPr>
          <w:rFonts w:ascii="宋体" w:hAnsi="宋体" w:eastAsia="宋体" w:cs="宋体"/>
          <w:color w:val="000000" w:themeColor="text1"/>
          <w:szCs w:val="21"/>
          <w14:textFill>
            <w14:solidFill>
              <w14:schemeClr w14:val="tx1"/>
            </w14:solidFill>
          </w14:textFill>
        </w:rPr>
      </w:pPr>
    </w:p>
    <w:p w14:paraId="7280A317">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法人（签字）：</w:t>
      </w:r>
      <w:r>
        <w:rPr>
          <w:rFonts w:hint="eastAsia" w:ascii="宋体" w:hAnsi="宋体" w:eastAsia="宋体" w:cs="宋体"/>
          <w:color w:val="000000" w:themeColor="text1"/>
          <w:szCs w:val="21"/>
          <w:u w:val="single"/>
          <w14:textFill>
            <w14:solidFill>
              <w14:schemeClr w14:val="tx1"/>
            </w14:solidFill>
          </w14:textFill>
        </w:rPr>
        <w:t xml:space="preserve">                                </w:t>
      </w:r>
    </w:p>
    <w:p w14:paraId="3830E94D">
      <w:pPr>
        <w:spacing w:line="400" w:lineRule="exact"/>
        <w:rPr>
          <w:rFonts w:ascii="宋体" w:hAnsi="宋体" w:eastAsia="宋体" w:cs="宋体"/>
          <w:color w:val="000000" w:themeColor="text1"/>
          <w:szCs w:val="21"/>
          <w14:textFill>
            <w14:solidFill>
              <w14:schemeClr w14:val="tx1"/>
            </w14:solidFill>
          </w14:textFill>
        </w:rPr>
      </w:pPr>
    </w:p>
    <w:p w14:paraId="6F532E77">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签署日期：</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年</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月</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日</w:t>
      </w:r>
    </w:p>
    <w:p w14:paraId="0D93FB89">
      <w:pP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br w:type="page"/>
      </w:r>
    </w:p>
    <w:p w14:paraId="0BCC2C61">
      <w:pPr>
        <w:spacing w:line="400" w:lineRule="exact"/>
        <w:rPr>
          <w:rFonts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附件5</w:t>
      </w:r>
    </w:p>
    <w:p w14:paraId="3340DCF3">
      <w:pPr>
        <w:spacing w:line="400" w:lineRule="exact"/>
        <w:jc w:val="center"/>
        <w:rPr>
          <w:rFonts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消防安全责任书</w:t>
      </w:r>
    </w:p>
    <w:p w14:paraId="418F4CF7">
      <w:pPr>
        <w:spacing w:line="400" w:lineRule="exact"/>
        <w:rPr>
          <w:rFonts w:ascii="宋体" w:hAnsi="宋体" w:eastAsia="宋体" w:cs="宋体"/>
          <w:color w:val="000000" w:themeColor="text1"/>
          <w:szCs w:val="21"/>
          <w14:textFill>
            <w14:solidFill>
              <w14:schemeClr w14:val="tx1"/>
            </w14:solidFill>
          </w14:textFill>
        </w:rPr>
      </w:pPr>
    </w:p>
    <w:p w14:paraId="6DD6717B">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甲方：金华市多湖里资产经营有限公司</w:t>
      </w:r>
    </w:p>
    <w:p w14:paraId="5A6B7FFA">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乙方： </w:t>
      </w:r>
    </w:p>
    <w:p w14:paraId="1B86F0AB">
      <w:pPr>
        <w:spacing w:line="400" w:lineRule="exact"/>
        <w:rPr>
          <w:rFonts w:ascii="宋体" w:hAnsi="宋体" w:eastAsia="宋体" w:cs="宋体"/>
          <w:color w:val="000000" w:themeColor="text1"/>
          <w:szCs w:val="21"/>
          <w14:textFill>
            <w14:solidFill>
              <w14:schemeClr w14:val="tx1"/>
            </w14:solidFill>
          </w14:textFill>
        </w:rPr>
      </w:pPr>
    </w:p>
    <w:p w14:paraId="241F600D">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为坚决贯彻《中华人民共和国消防法》的实施和执行，落实“预防为主，防消结合”的消防方针，严格消防监督管理，加强消防管理力度，防止火灾发生，减少火灾损失，保障多湖里</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的正常生活秩序及人员、财产的安全，甲乙双方根据《中华人民共和国消防法》及金华市地方消防安全法规的要求，特签订本消防安全协议书，具体约定如下：</w:t>
      </w:r>
    </w:p>
    <w:p w14:paraId="784817FA">
      <w:pPr>
        <w:spacing w:line="400" w:lineRule="exact"/>
        <w:rPr>
          <w:rFonts w:ascii="宋体" w:hAnsi="宋体" w:eastAsia="宋体" w:cs="宋体"/>
          <w:color w:val="000000" w:themeColor="text1"/>
          <w:szCs w:val="21"/>
          <w14:textFill>
            <w14:solidFill>
              <w14:schemeClr w14:val="tx1"/>
            </w14:solidFill>
          </w14:textFill>
        </w:rPr>
      </w:pPr>
    </w:p>
    <w:p w14:paraId="71BB0BFF">
      <w:pPr>
        <w:numPr>
          <w:ilvl w:val="0"/>
          <w:numId w:val="1"/>
        </w:num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根据“谁主管、谁负责”的消防责任界定原则，甲方将乙方经营区域的消防安全保障工作分割委托给乙方负责。</w:t>
      </w:r>
    </w:p>
    <w:p w14:paraId="3157AF9E">
      <w:pPr>
        <w:spacing w:line="400" w:lineRule="exact"/>
        <w:rPr>
          <w:rFonts w:ascii="宋体" w:hAnsi="宋体" w:eastAsia="宋体" w:cs="宋体"/>
          <w:color w:val="000000" w:themeColor="text1"/>
          <w:szCs w:val="21"/>
          <w14:textFill>
            <w14:solidFill>
              <w14:schemeClr w14:val="tx1"/>
            </w14:solidFill>
          </w14:textFill>
        </w:rPr>
      </w:pPr>
    </w:p>
    <w:p w14:paraId="5F81B248">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二、甲方责任与义务：</w:t>
      </w:r>
    </w:p>
    <w:p w14:paraId="3FB0A1F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1. 负责本单位消防安全防范的组织工作，定期对乙方进行消防安全宣传、培训，使其懂得消防器材的使用，如初起火灾的扑救及熟记报警程序并能够组织人员疏散。 </w:t>
      </w:r>
    </w:p>
    <w:p w14:paraId="0A317D1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 及时传达消防机关对消防工作的部署和要求。</w:t>
      </w:r>
    </w:p>
    <w:p w14:paraId="6E436AE2">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 有权要求乙方限期消除火灾隐患，对严重违反《中华人民共和国消防法》和消防安全规定，甲方有权以《中华人民共和国消防法》相关条款，进行相应处罚。</w:t>
      </w:r>
    </w:p>
    <w:p w14:paraId="7146068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4. 对乙方经营区域的消防安全工作负责指导、监督、检查、促使乙方做好消防安全工作。 </w:t>
      </w:r>
    </w:p>
    <w:p w14:paraId="0240F98B">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 负责在本单位辖区内发生火警时及时组织扑救和协助政府消防部门进行消防灭火施救工作。</w:t>
      </w:r>
    </w:p>
    <w:p w14:paraId="5257C505">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 其它作为本单位所应承担的消防责任义务。</w:t>
      </w:r>
    </w:p>
    <w:p w14:paraId="41B79DBC">
      <w:pPr>
        <w:spacing w:line="400" w:lineRule="exact"/>
        <w:ind w:firstLine="420" w:firstLineChars="200"/>
        <w:rPr>
          <w:rFonts w:ascii="宋体" w:hAnsi="宋体" w:eastAsia="宋体" w:cs="宋体"/>
          <w:color w:val="000000" w:themeColor="text1"/>
          <w:szCs w:val="21"/>
          <w14:textFill>
            <w14:solidFill>
              <w14:schemeClr w14:val="tx1"/>
            </w14:solidFill>
          </w14:textFill>
        </w:rPr>
      </w:pPr>
    </w:p>
    <w:p w14:paraId="33E52D6E">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三、乙方责任与义务：</w:t>
      </w:r>
    </w:p>
    <w:p w14:paraId="3AA772D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 积极支持配合和参加甲方组织的消防安全防范活动，自觉培养消防意识，宣传消防重要性。</w:t>
      </w:r>
    </w:p>
    <w:p w14:paraId="6810DE2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 严格遵守国家有关法律、法规和甲方的各项规章制度，自觉维护经营区域内的消防设施完好，并指派专人作为消防安全负责人定期对所属区域的固定消防设备进行保养、维护、发现问题及时处置，定期对消防通道和消防水源的畅通进行检查，严禁在通道内堆放货物。</w:t>
      </w:r>
    </w:p>
    <w:p w14:paraId="567C26F0">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 不在其经营的范围内贮藏保存易燃易爆危险物品。</w:t>
      </w:r>
    </w:p>
    <w:p w14:paraId="6F26E24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 乙方要加强电气安全管理。电气线路安装要完全符合防火措施的各项要求，并定期检查电气线路的耐压，负荷测量，及时排除故障；同时严格执行电气短路保护措施；并不违规使用电器、不超容量用电和不违规使用液化气、管道煤气等燃气具。</w:t>
      </w:r>
    </w:p>
    <w:p w14:paraId="63DCA907">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5. 教育和培养员工学习消防逃生技能、“四个能力”、“四懂”、“四会”。在发生火灾的紧急情况下能冷静准确向119报警，全体员工要服从多湖里</w:t>
      </w:r>
      <w:r>
        <w:rPr>
          <w:rFonts w:hint="eastAsia" w:ascii="宋体" w:hAnsi="宋体" w:eastAsia="宋体" w:cs="宋体"/>
          <w:color w:val="000000" w:themeColor="text1"/>
          <w:szCs w:val="21"/>
          <w:lang w:eastAsia="zh-CN"/>
          <w14:textFill>
            <w14:solidFill>
              <w14:schemeClr w14:val="tx1"/>
            </w14:solidFill>
          </w14:textFill>
        </w:rPr>
        <w:t>多湖里</w:t>
      </w:r>
      <w:r>
        <w:rPr>
          <w:rFonts w:hint="eastAsia" w:ascii="宋体" w:hAnsi="宋体" w:eastAsia="宋体" w:cs="宋体"/>
          <w:color w:val="000000" w:themeColor="text1"/>
          <w:szCs w:val="21"/>
          <w14:textFill>
            <w14:solidFill>
              <w14:schemeClr w14:val="tx1"/>
            </w14:solidFill>
          </w14:textFill>
        </w:rPr>
        <w:t>工作人员的统一指挥，积极参与疏导扑救工作，指引和协助他人逃生。</w:t>
      </w:r>
    </w:p>
    <w:p w14:paraId="3A101C06">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6. 凡乙方在经营区域内新建、改建、扩建和建筑物内部装修的建筑工程及设置自动消防设施的建筑工程等均按照《消防法》和相关的法律、法规办理消防审核、监督、验收程序，同时应事先向甲方提出书面申请，并接受甲方对施工期间消防安全检查，消防安全验收。</w:t>
      </w:r>
    </w:p>
    <w:p w14:paraId="3BAF780B">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 任何单位、个人不得损坏、挪用或者擅自拆除、停用消防设施、器材，不得埋压、圈占、遮挡消火栓或者占用防火间距</w:t>
      </w:r>
      <w:r>
        <w:rPr>
          <w:rFonts w:hint="eastAsia" w:ascii="宋体" w:hAnsi="宋体" w:eastAsia="宋体" w:cs="宋体"/>
          <w:color w:val="000000" w:themeColor="text1"/>
          <w:szCs w:val="21"/>
          <w:highlight w:val="none"/>
          <w14:textFill>
            <w14:solidFill>
              <w14:schemeClr w14:val="tx1"/>
            </w14:solidFill>
          </w14:textFill>
        </w:rPr>
        <w:t>，乙方负责承租区域内疏散设施和其他消防设施的管理</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不得</w:t>
      </w:r>
      <w:r>
        <w:rPr>
          <w:rFonts w:hint="eastAsia" w:ascii="宋体" w:hAnsi="宋体" w:eastAsia="宋体" w:cs="宋体"/>
          <w:color w:val="000000" w:themeColor="text1"/>
          <w:szCs w:val="21"/>
          <w14:textFill>
            <w14:solidFill>
              <w14:schemeClr w14:val="tx1"/>
            </w14:solidFill>
          </w14:textFill>
        </w:rPr>
        <w:t>占用、堵塞、封闭疏散通道、安全出口，消防车道。人员密集场所的门窗不得设置影响逃生和灭火救援的障碍物。</w:t>
      </w:r>
    </w:p>
    <w:p w14:paraId="38954F43">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 在本经营区内如发生火灾事故，乙方应承担《消防法》和其它法律所追究的各项刑事责任和消防行政处罚责任，并赔偿因火灾所造成的各种损失。</w:t>
      </w:r>
    </w:p>
    <w:p w14:paraId="40E25F0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 乙方违反消防安全管理规定进入生产、储藏、储存易燃易爆危险品场所的；违反规定使用明火作业或者在具有火灾、爆炸危险的场所吸烟、使用明火的；指使或者强令他人违反消防安全规定，冒险作业的，过失引起火灾的；在火灾发生后阻拦报警，或者负有报告职责的人员不及时报警的。乙方违反上规定的行为，并造成恶劣影响的，甲方有权终止租赁合同。</w:t>
      </w:r>
    </w:p>
    <w:p w14:paraId="5CFE8D01">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 其它作为乙方所应承担的消防责任和义务。</w:t>
      </w:r>
    </w:p>
    <w:p w14:paraId="4FEB0C28">
      <w:pPr>
        <w:spacing w:line="400" w:lineRule="exact"/>
        <w:ind w:firstLine="420" w:firstLineChars="200"/>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11. 甲乙双方对上述各项消防安全管理责任与义务应认真执行，若有违反，承担相关法律后果。</w:t>
      </w:r>
    </w:p>
    <w:p w14:paraId="07CEF341">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 </w:t>
      </w:r>
    </w:p>
    <w:p w14:paraId="712DDD61">
      <w:pPr>
        <w:numPr>
          <w:ilvl w:val="0"/>
          <w:numId w:val="2"/>
        </w:num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本协议未尽事宜，可依据《消防法》和国家的法律，法规执行及由双方约定签订补充协议。补充协议与本协议具有同等效力。</w:t>
      </w:r>
    </w:p>
    <w:p w14:paraId="511CD5CF">
      <w:pPr>
        <w:spacing w:line="400" w:lineRule="exact"/>
        <w:rPr>
          <w:rFonts w:ascii="宋体" w:hAnsi="宋体" w:eastAsia="宋体" w:cs="宋体"/>
          <w:color w:val="000000" w:themeColor="text1"/>
          <w:szCs w:val="21"/>
          <w14:textFill>
            <w14:solidFill>
              <w14:schemeClr w14:val="tx1"/>
            </w14:solidFill>
          </w14:textFill>
        </w:rPr>
      </w:pPr>
    </w:p>
    <w:p w14:paraId="22935860">
      <w:pPr>
        <w:numPr>
          <w:ilvl w:val="0"/>
          <w:numId w:val="2"/>
        </w:num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此责任书一式两份，双方各执一份。</w:t>
      </w:r>
    </w:p>
    <w:p w14:paraId="6836A23E">
      <w:pPr>
        <w:spacing w:line="400" w:lineRule="exact"/>
        <w:rPr>
          <w:rFonts w:ascii="宋体" w:hAnsi="宋体" w:eastAsia="宋体" w:cs="宋体"/>
          <w:color w:val="000000" w:themeColor="text1"/>
          <w:szCs w:val="21"/>
          <w14:textFill>
            <w14:solidFill>
              <w14:schemeClr w14:val="tx1"/>
            </w14:solidFill>
          </w14:textFill>
        </w:rPr>
      </w:pPr>
    </w:p>
    <w:p w14:paraId="0A8BDE6B">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六、本责任书自双方签订之日起生效，合同到期本责任书自动终止。</w:t>
      </w:r>
    </w:p>
    <w:p w14:paraId="3E4C07EC">
      <w:pPr>
        <w:spacing w:line="400" w:lineRule="exact"/>
        <w:rPr>
          <w:rFonts w:ascii="宋体" w:hAnsi="宋体" w:eastAsia="宋体" w:cs="宋体"/>
          <w:color w:val="000000" w:themeColor="text1"/>
          <w:szCs w:val="21"/>
          <w14:textFill>
            <w14:solidFill>
              <w14:schemeClr w14:val="tx1"/>
            </w14:solidFill>
          </w14:textFill>
        </w:rPr>
      </w:pPr>
    </w:p>
    <w:p w14:paraId="5C5B6DC9">
      <w:pPr>
        <w:spacing w:line="400" w:lineRule="exact"/>
        <w:rPr>
          <w:rFonts w:ascii="宋体" w:hAnsi="宋体" w:eastAsia="宋体" w:cs="宋体"/>
          <w:color w:val="000000" w:themeColor="text1"/>
          <w:szCs w:val="21"/>
          <w14:textFill>
            <w14:solidFill>
              <w14:schemeClr w14:val="tx1"/>
            </w14:solidFill>
          </w14:textFill>
        </w:rPr>
      </w:pPr>
    </w:p>
    <w:p w14:paraId="3A37EB27">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【本页为签署页】</w:t>
      </w:r>
    </w:p>
    <w:p w14:paraId="557DA985">
      <w:pPr>
        <w:spacing w:line="400" w:lineRule="exact"/>
        <w:rPr>
          <w:rFonts w:ascii="宋体" w:hAnsi="宋体" w:eastAsia="宋体" w:cs="宋体"/>
          <w:color w:val="000000" w:themeColor="text1"/>
          <w:szCs w:val="21"/>
          <w14:textFill>
            <w14:solidFill>
              <w14:schemeClr w14:val="tx1"/>
            </w14:solidFill>
          </w14:textFill>
        </w:rPr>
      </w:pPr>
    </w:p>
    <w:p w14:paraId="574BCBB9">
      <w:pPr>
        <w:spacing w:line="400" w:lineRule="exact"/>
        <w:rPr>
          <w:rFonts w:ascii="宋体" w:hAnsi="宋体" w:eastAsia="宋体" w:cs="宋体"/>
          <w:color w:val="000000" w:themeColor="text1"/>
          <w:szCs w:val="21"/>
          <w14:textFill>
            <w14:solidFill>
              <w14:schemeClr w14:val="tx1"/>
            </w14:solidFill>
          </w14:textFill>
        </w:rPr>
      </w:pPr>
    </w:p>
    <w:p w14:paraId="422E6854">
      <w:pPr>
        <w:spacing w:line="40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甲方（盖章）：金华市多湖里资产经营有限公司</w:t>
      </w:r>
    </w:p>
    <w:p w14:paraId="30F15514">
      <w:pPr>
        <w:spacing w:line="400" w:lineRule="exact"/>
        <w:rPr>
          <w:rFonts w:ascii="宋体" w:hAnsi="宋体" w:eastAsia="宋体" w:cs="宋体"/>
          <w:color w:val="000000" w:themeColor="text1"/>
          <w:szCs w:val="21"/>
          <w14:textFill>
            <w14:solidFill>
              <w14:schemeClr w14:val="tx1"/>
            </w14:solidFill>
          </w14:textFill>
        </w:rPr>
      </w:pPr>
    </w:p>
    <w:p w14:paraId="4FB333DC">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法人（签字）：</w:t>
      </w:r>
      <w:r>
        <w:rPr>
          <w:rFonts w:hint="eastAsia" w:ascii="宋体" w:hAnsi="宋体" w:eastAsia="宋体" w:cs="宋体"/>
          <w:color w:val="000000" w:themeColor="text1"/>
          <w:szCs w:val="21"/>
          <w:u w:val="single"/>
          <w14:textFill>
            <w14:solidFill>
              <w14:schemeClr w14:val="tx1"/>
            </w14:solidFill>
          </w14:textFill>
        </w:rPr>
        <w:t xml:space="preserve">                            </w:t>
      </w:r>
    </w:p>
    <w:p w14:paraId="5A9998BE">
      <w:pPr>
        <w:spacing w:line="400" w:lineRule="exact"/>
        <w:rPr>
          <w:rFonts w:ascii="宋体" w:hAnsi="宋体" w:eastAsia="宋体" w:cs="宋体"/>
          <w:color w:val="000000" w:themeColor="text1"/>
          <w:szCs w:val="21"/>
          <w14:textFill>
            <w14:solidFill>
              <w14:schemeClr w14:val="tx1"/>
            </w14:solidFill>
          </w14:textFill>
        </w:rPr>
      </w:pPr>
    </w:p>
    <w:p w14:paraId="6B076CE1">
      <w:pPr>
        <w:spacing w:line="400" w:lineRule="exact"/>
        <w:rPr>
          <w:rFonts w:ascii="宋体" w:hAnsi="宋体" w:eastAsia="宋体" w:cs="宋体"/>
          <w:color w:val="000000" w:themeColor="text1"/>
          <w:szCs w:val="21"/>
          <w14:textFill>
            <w14:solidFill>
              <w14:schemeClr w14:val="tx1"/>
            </w14:solidFill>
          </w14:textFill>
        </w:rPr>
      </w:pPr>
    </w:p>
    <w:p w14:paraId="45E2F492">
      <w:pPr>
        <w:spacing w:line="400" w:lineRule="exact"/>
        <w:rPr>
          <w:rFonts w:ascii="宋体" w:hAnsi="宋体" w:eastAsia="宋体" w:cs="宋体"/>
          <w:color w:val="000000" w:themeColor="text1"/>
          <w:szCs w:val="21"/>
          <w14:textFill>
            <w14:solidFill>
              <w14:schemeClr w14:val="tx1"/>
            </w14:solidFill>
          </w14:textFill>
        </w:rPr>
      </w:pPr>
    </w:p>
    <w:p w14:paraId="536A4BC0">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乙方（盖章）：</w:t>
      </w:r>
      <w:r>
        <w:rPr>
          <w:rFonts w:hint="eastAsia" w:ascii="宋体" w:hAnsi="宋体" w:eastAsia="宋体" w:cs="宋体"/>
          <w:color w:val="000000" w:themeColor="text1"/>
          <w:szCs w:val="21"/>
          <w:u w:val="single"/>
          <w14:textFill>
            <w14:solidFill>
              <w14:schemeClr w14:val="tx1"/>
            </w14:solidFill>
          </w14:textFill>
        </w:rPr>
        <w:t xml:space="preserve">                            </w:t>
      </w:r>
    </w:p>
    <w:p w14:paraId="42386BF0">
      <w:pPr>
        <w:spacing w:line="400" w:lineRule="exact"/>
        <w:rPr>
          <w:rFonts w:ascii="宋体" w:hAnsi="宋体" w:eastAsia="宋体" w:cs="宋体"/>
          <w:color w:val="000000" w:themeColor="text1"/>
          <w:szCs w:val="21"/>
          <w:u w:val="single"/>
          <w14:textFill>
            <w14:solidFill>
              <w14:schemeClr w14:val="tx1"/>
            </w14:solidFill>
          </w14:textFill>
        </w:rPr>
      </w:pPr>
    </w:p>
    <w:p w14:paraId="28A0C301">
      <w:pPr>
        <w:spacing w:line="400" w:lineRule="exact"/>
        <w:rPr>
          <w:rFonts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法人（签字）：</w:t>
      </w:r>
      <w:r>
        <w:rPr>
          <w:rFonts w:hint="eastAsia" w:ascii="宋体" w:hAnsi="宋体" w:eastAsia="宋体" w:cs="宋体"/>
          <w:color w:val="000000" w:themeColor="text1"/>
          <w:szCs w:val="21"/>
          <w:u w:val="single"/>
          <w14:textFill>
            <w14:solidFill>
              <w14:schemeClr w14:val="tx1"/>
            </w14:solidFill>
          </w14:textFill>
        </w:rPr>
        <w:t xml:space="preserve">                           </w:t>
      </w:r>
    </w:p>
    <w:p w14:paraId="1FDAF5A5">
      <w:pPr>
        <w:spacing w:line="400" w:lineRule="exact"/>
        <w:rPr>
          <w:rFonts w:ascii="宋体" w:hAnsi="宋体" w:eastAsia="宋体" w:cs="宋体"/>
          <w:color w:val="000000" w:themeColor="text1"/>
          <w:szCs w:val="21"/>
          <w14:textFill>
            <w14:solidFill>
              <w14:schemeClr w14:val="tx1"/>
            </w14:solidFill>
          </w14:textFill>
        </w:rPr>
      </w:pPr>
    </w:p>
    <w:p w14:paraId="271DB925">
      <w:pPr>
        <w:spacing w:line="400" w:lineRule="exact"/>
        <w:rPr>
          <w:rFonts w:ascii="宋体" w:hAnsi="宋体" w:eastAsia="宋体" w:cs="宋体"/>
          <w:color w:val="000000" w:themeColor="text1"/>
          <w:szCs w:val="21"/>
          <w14:textFill>
            <w14:solidFill>
              <w14:schemeClr w14:val="tx1"/>
            </w14:solidFill>
          </w14:textFill>
        </w:rPr>
      </w:pPr>
    </w:p>
    <w:p w14:paraId="6B0EFFF4">
      <w:pPr>
        <w:spacing w:line="400" w:lineRule="exac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签署日期：</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年</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月</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日</w:t>
      </w:r>
    </w:p>
    <w:p w14:paraId="020BF425">
      <w:pP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br w:type="page"/>
      </w:r>
    </w:p>
    <w:p w14:paraId="3EA7A56D">
      <w:pPr>
        <w:spacing w:line="400" w:lineRule="exact"/>
        <w:rPr>
          <w:rFonts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lang w:eastAsia="zh-CN"/>
          <w14:textFill>
            <w14:solidFill>
              <w14:schemeClr w14:val="tx1"/>
            </w14:solidFill>
          </w14:textFill>
        </w:rPr>
        <w:t>附</w:t>
      </w: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件6</w:t>
      </w:r>
    </w:p>
    <w:p w14:paraId="40821E7D">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廉洁协议</w:t>
      </w:r>
    </w:p>
    <w:p w14:paraId="5AD87DB8">
      <w:pPr>
        <w:pStyle w:val="2"/>
        <w:spacing w:line="200" w:lineRule="exact"/>
        <w:ind w:firstLine="360" w:firstLineChars="200"/>
      </w:pPr>
    </w:p>
    <w:p w14:paraId="3E5BF3A8">
      <w:pPr>
        <w:spacing w:line="400" w:lineRule="exact"/>
        <w:ind w:firstLine="420" w:firstLineChars="200"/>
        <w:rPr>
          <w:rFonts w:ascii="宋体" w:hAnsi="宋体" w:eastAsia="宋体" w:cs="宋体"/>
          <w:szCs w:val="21"/>
        </w:rPr>
      </w:pPr>
      <w:r>
        <w:rPr>
          <w:rFonts w:hint="eastAsia" w:ascii="宋体" w:hAnsi="宋体" w:eastAsia="宋体" w:cs="宋体"/>
          <w:szCs w:val="21"/>
        </w:rPr>
        <w:t>甲 方：金华市多湖里资产经营有限公司</w:t>
      </w:r>
    </w:p>
    <w:p w14:paraId="689F3883">
      <w:pPr>
        <w:spacing w:line="400" w:lineRule="exact"/>
        <w:ind w:firstLine="420" w:firstLineChars="200"/>
        <w:rPr>
          <w:rFonts w:ascii="宋体" w:hAnsi="宋体" w:eastAsia="宋体" w:cs="宋体"/>
          <w:szCs w:val="21"/>
        </w:rPr>
      </w:pPr>
      <w:r>
        <w:rPr>
          <w:rFonts w:hint="eastAsia" w:ascii="宋体" w:hAnsi="宋体" w:eastAsia="宋体" w:cs="宋体"/>
          <w:szCs w:val="21"/>
        </w:rPr>
        <w:t>乙 方：</w:t>
      </w:r>
    </w:p>
    <w:p w14:paraId="3F47FA8B">
      <w:pPr>
        <w:spacing w:line="400" w:lineRule="exact"/>
        <w:ind w:firstLine="420" w:firstLineChars="200"/>
        <w:rPr>
          <w:rFonts w:ascii="宋体" w:hAnsi="宋体" w:eastAsia="宋体" w:cs="宋体"/>
          <w:szCs w:val="21"/>
        </w:rPr>
      </w:pPr>
      <w:r>
        <w:rPr>
          <w:rFonts w:hint="eastAsia" w:ascii="宋体" w:hAnsi="宋体" w:eastAsia="宋体" w:cs="宋体"/>
          <w:szCs w:val="21"/>
        </w:rPr>
        <w:t>为了在项目经营中保持廉洁自律的工作作风，防止各种不正当行为的发生，根据国家、浙江有关廉政建设各项规定，结合实际，特订立本协议如下：</w:t>
      </w:r>
    </w:p>
    <w:p w14:paraId="47637120">
      <w:pPr>
        <w:spacing w:line="400" w:lineRule="exact"/>
        <w:ind w:firstLine="420" w:firstLineChars="200"/>
        <w:rPr>
          <w:rFonts w:ascii="宋体" w:hAnsi="宋体" w:eastAsia="宋体" w:cs="宋体"/>
          <w:szCs w:val="21"/>
        </w:rPr>
      </w:pPr>
      <w:r>
        <w:rPr>
          <w:rFonts w:hint="eastAsia" w:ascii="宋体" w:hAnsi="宋体" w:eastAsia="宋体" w:cs="宋体"/>
          <w:szCs w:val="21"/>
        </w:rPr>
        <w:t>一、甲乙双方应当自觉遵守国家和浙江省有关廉政建设的各项规定 。</w:t>
      </w:r>
    </w:p>
    <w:p w14:paraId="4CF7AF2B">
      <w:pPr>
        <w:spacing w:line="400" w:lineRule="exact"/>
        <w:ind w:firstLine="420" w:firstLineChars="200"/>
        <w:rPr>
          <w:rFonts w:ascii="宋体" w:hAnsi="宋体" w:eastAsia="宋体" w:cs="宋体"/>
          <w:szCs w:val="21"/>
        </w:rPr>
      </w:pPr>
      <w:r>
        <w:rPr>
          <w:rFonts w:hint="eastAsia" w:ascii="宋体" w:hAnsi="宋体" w:eastAsia="宋体" w:cs="宋体"/>
          <w:szCs w:val="21"/>
        </w:rPr>
        <w:t>二、甲方及其工作人员不得以任何形式向乙方索要和收受回扣等好处费。</w:t>
      </w:r>
    </w:p>
    <w:p w14:paraId="5507D697">
      <w:pPr>
        <w:spacing w:line="400" w:lineRule="exact"/>
        <w:ind w:firstLine="420" w:firstLineChars="200"/>
        <w:rPr>
          <w:rFonts w:ascii="宋体" w:hAnsi="宋体" w:eastAsia="宋体" w:cs="宋体"/>
          <w:szCs w:val="21"/>
        </w:rPr>
      </w:pPr>
      <w:r>
        <w:rPr>
          <w:rFonts w:hint="eastAsia" w:ascii="宋体" w:hAnsi="宋体" w:eastAsia="宋体" w:cs="宋体"/>
          <w:szCs w:val="21"/>
        </w:rPr>
        <w:t>三、甲方工作人员不得接受乙方的礼金、有价证券和贵重物品，不得在乙方报销任何应由个人支付的费用 。</w:t>
      </w:r>
    </w:p>
    <w:p w14:paraId="28C0541F">
      <w:pPr>
        <w:spacing w:line="400" w:lineRule="exact"/>
        <w:ind w:firstLine="420" w:firstLineChars="200"/>
        <w:rPr>
          <w:rFonts w:ascii="宋体" w:hAnsi="宋体" w:eastAsia="宋体" w:cs="宋体"/>
          <w:szCs w:val="21"/>
        </w:rPr>
      </w:pPr>
      <w:r>
        <w:rPr>
          <w:rFonts w:hint="eastAsia" w:ascii="宋体" w:hAnsi="宋体" w:eastAsia="宋体" w:cs="宋体"/>
          <w:szCs w:val="21"/>
        </w:rPr>
        <w:t>四、甲方工作人员不得要求或者接受乙方为其住房装修、婚丧嫁娶、家属和子女的工作安排以及出国等提供方便 。</w:t>
      </w:r>
    </w:p>
    <w:p w14:paraId="7567E700">
      <w:pPr>
        <w:spacing w:line="400" w:lineRule="exact"/>
        <w:ind w:firstLine="420" w:firstLineChars="200"/>
        <w:rPr>
          <w:rFonts w:ascii="宋体" w:hAnsi="宋体" w:eastAsia="宋体" w:cs="宋体"/>
          <w:szCs w:val="21"/>
        </w:rPr>
      </w:pPr>
      <w:r>
        <w:rPr>
          <w:rFonts w:hint="eastAsia" w:ascii="宋体" w:hAnsi="宋体" w:eastAsia="宋体" w:cs="宋体"/>
          <w:szCs w:val="21"/>
        </w:rPr>
        <w:t>五、甲方工作人员不得向乙方介绍家属或者亲友从事与甲方项目有关的材料及货物供应、工程分包及购买服务等经济活动。</w:t>
      </w:r>
    </w:p>
    <w:p w14:paraId="2E15DE9E">
      <w:pPr>
        <w:spacing w:line="400" w:lineRule="exact"/>
        <w:ind w:firstLine="420" w:firstLineChars="200"/>
        <w:rPr>
          <w:rFonts w:ascii="宋体" w:hAnsi="宋体" w:eastAsia="宋体" w:cs="宋体"/>
          <w:szCs w:val="21"/>
        </w:rPr>
      </w:pPr>
      <w:r>
        <w:rPr>
          <w:rFonts w:hint="eastAsia" w:ascii="宋体" w:hAnsi="宋体" w:eastAsia="宋体" w:cs="宋体"/>
          <w:szCs w:val="21"/>
        </w:rPr>
        <w:t>六、乙方应当通过正常途径开展相应业务工作，不得为获取某些不正当利益而向甲方工作人员赠送礼金、有价证券和贵重物品等。</w:t>
      </w:r>
    </w:p>
    <w:p w14:paraId="180A115E">
      <w:pPr>
        <w:spacing w:line="400" w:lineRule="exact"/>
        <w:ind w:firstLine="420" w:firstLineChars="200"/>
        <w:rPr>
          <w:rFonts w:ascii="宋体" w:hAnsi="宋体" w:eastAsia="宋体" w:cs="宋体"/>
          <w:szCs w:val="21"/>
        </w:rPr>
      </w:pPr>
      <w:r>
        <w:rPr>
          <w:rFonts w:hint="eastAsia" w:ascii="宋体" w:hAnsi="宋体" w:eastAsia="宋体" w:cs="宋体"/>
          <w:szCs w:val="21"/>
        </w:rPr>
        <w:t>七、乙方不得为甲方单位和个人购置或者提供通讯工具、交通工具、家电、高档办公用品等物品。</w:t>
      </w:r>
    </w:p>
    <w:p w14:paraId="5548FEF1">
      <w:pPr>
        <w:spacing w:line="400" w:lineRule="exact"/>
        <w:rPr>
          <w:rFonts w:ascii="宋体" w:hAnsi="宋体" w:eastAsia="宋体" w:cs="宋体"/>
          <w:szCs w:val="21"/>
        </w:rPr>
      </w:pPr>
      <w:r>
        <w:rPr>
          <w:rFonts w:hint="eastAsia" w:ascii="宋体" w:hAnsi="宋体" w:eastAsia="宋体" w:cs="宋体"/>
          <w:szCs w:val="21"/>
        </w:rPr>
        <w:t>八、乙方如发现甲方工作人员有违反上述协议者，应向甲方领导及职能部门或者甲方上级单位举报。甲方不得找任何借口对乙方进行报复。甲方对举报属实和严格遵守廉政协议的乙方，在同等条件下给予承接后续项目的优先邀请招标权。</w:t>
      </w:r>
    </w:p>
    <w:p w14:paraId="6C693B70">
      <w:pPr>
        <w:spacing w:line="400" w:lineRule="exact"/>
        <w:ind w:firstLine="420" w:firstLineChars="200"/>
        <w:rPr>
          <w:rFonts w:ascii="宋体" w:hAnsi="宋体" w:eastAsia="宋体" w:cs="宋体"/>
          <w:szCs w:val="21"/>
        </w:rPr>
      </w:pPr>
      <w:r>
        <w:rPr>
          <w:rFonts w:hint="eastAsia" w:ascii="宋体" w:hAnsi="宋体" w:eastAsia="宋体" w:cs="宋体"/>
          <w:szCs w:val="21"/>
        </w:rPr>
        <w:t>九、甲方发现并查实乙方有违反本协议或者采用不正当的手段行贿甲方工作人员，甲方根据具体情节和造成的后果追究相关责任。由此给甲方造成的损失均由乙方承担，乙方利用不正当手段获取的非法所得由甲方单位予以追缴。同时，甲方可单方面终止与乙方签订的合同，且乙方在三年内，不得参加甲方及其系统内有关项目的招标活动。</w:t>
      </w:r>
    </w:p>
    <w:p w14:paraId="1C1A3A5D">
      <w:pPr>
        <w:spacing w:line="400" w:lineRule="exact"/>
        <w:ind w:firstLine="420" w:firstLineChars="200"/>
        <w:rPr>
          <w:rFonts w:ascii="宋体" w:hAnsi="宋体" w:eastAsia="宋体" w:cs="宋体"/>
          <w:szCs w:val="21"/>
        </w:rPr>
      </w:pPr>
      <w:r>
        <w:rPr>
          <w:rFonts w:hint="eastAsia" w:ascii="宋体" w:hAnsi="宋体" w:eastAsia="宋体" w:cs="宋体"/>
          <w:szCs w:val="21"/>
        </w:rPr>
        <w:t>十、甲乙双方若存在违反本协议规定之外且与项目有关的其他不廉洁行为的，则按本协议“九 ”条款规定处理。</w:t>
      </w:r>
    </w:p>
    <w:p w14:paraId="353DD33C">
      <w:pPr>
        <w:spacing w:line="400" w:lineRule="exact"/>
        <w:ind w:firstLine="420" w:firstLineChars="200"/>
        <w:rPr>
          <w:rFonts w:ascii="宋体" w:hAnsi="宋体" w:eastAsia="宋体" w:cs="宋体"/>
          <w:szCs w:val="21"/>
        </w:rPr>
      </w:pPr>
      <w:r>
        <w:rPr>
          <w:rFonts w:hint="eastAsia" w:ascii="宋体" w:hAnsi="宋体" w:eastAsia="宋体" w:cs="宋体"/>
          <w:szCs w:val="21"/>
        </w:rPr>
        <w:t>十一、本廉政协议作为金华市多湖里资产经营有限公司和中选方合同的附件，与其具有同等的法律效力。经协议双方签署后立即生效。</w:t>
      </w:r>
    </w:p>
    <w:p w14:paraId="1FDD6949">
      <w:pPr>
        <w:spacing w:line="400" w:lineRule="exact"/>
        <w:ind w:firstLine="420" w:firstLineChars="200"/>
        <w:rPr>
          <w:rFonts w:ascii="宋体" w:hAnsi="宋体" w:eastAsia="宋体" w:cs="宋体"/>
          <w:szCs w:val="21"/>
        </w:rPr>
      </w:pPr>
      <w:r>
        <w:rPr>
          <w:rFonts w:hint="eastAsia" w:ascii="宋体" w:hAnsi="宋体" w:eastAsia="宋体" w:cs="宋体"/>
          <w:szCs w:val="21"/>
        </w:rPr>
        <w:t>十二、本协议一式贰份，甲、乙双方各执壹份。</w:t>
      </w:r>
    </w:p>
    <w:p w14:paraId="0C1CC9C0">
      <w:pPr>
        <w:spacing w:line="400" w:lineRule="exact"/>
        <w:rPr>
          <w:rFonts w:ascii="宋体" w:hAnsi="宋体" w:eastAsia="宋体" w:cs="宋体"/>
          <w:szCs w:val="21"/>
        </w:rPr>
      </w:pPr>
      <w:r>
        <w:rPr>
          <w:rFonts w:hint="eastAsia" w:ascii="宋体" w:hAnsi="宋体" w:eastAsia="宋体" w:cs="宋体"/>
          <w:szCs w:val="21"/>
        </w:rPr>
        <w:t>【本页为廉洁协议签署页】</w:t>
      </w:r>
    </w:p>
    <w:p w14:paraId="47746F04">
      <w:pPr>
        <w:spacing w:line="400" w:lineRule="exact"/>
        <w:rPr>
          <w:rFonts w:ascii="宋体" w:hAnsi="宋体" w:eastAsia="宋体" w:cs="宋体"/>
          <w:szCs w:val="21"/>
        </w:rPr>
      </w:pPr>
    </w:p>
    <w:p w14:paraId="58D3C2FE">
      <w:pPr>
        <w:spacing w:line="400" w:lineRule="exact"/>
        <w:rPr>
          <w:rFonts w:ascii="宋体" w:hAnsi="宋体" w:eastAsia="宋体" w:cs="宋体"/>
          <w:szCs w:val="21"/>
        </w:rPr>
      </w:pPr>
    </w:p>
    <w:p w14:paraId="4EEC829C">
      <w:pPr>
        <w:spacing w:line="400" w:lineRule="exact"/>
        <w:rPr>
          <w:rFonts w:ascii="宋体" w:hAnsi="宋体" w:eastAsia="宋体" w:cs="宋体"/>
          <w:szCs w:val="21"/>
        </w:rPr>
      </w:pPr>
      <w:r>
        <w:rPr>
          <w:rFonts w:hint="eastAsia" w:ascii="宋体" w:hAnsi="宋体" w:eastAsia="宋体" w:cs="宋体"/>
          <w:szCs w:val="21"/>
        </w:rPr>
        <w:t>甲方（盖章）：金华市多湖里资产经营有限公司</w:t>
      </w:r>
    </w:p>
    <w:p w14:paraId="625B6992">
      <w:pPr>
        <w:spacing w:line="400" w:lineRule="exact"/>
        <w:rPr>
          <w:rFonts w:ascii="宋体" w:hAnsi="宋体" w:eastAsia="宋体" w:cs="宋体"/>
          <w:szCs w:val="21"/>
        </w:rPr>
      </w:pPr>
    </w:p>
    <w:p w14:paraId="67EDEA24">
      <w:pPr>
        <w:spacing w:line="400" w:lineRule="exact"/>
        <w:rPr>
          <w:rFonts w:ascii="宋体" w:hAnsi="宋体" w:eastAsia="宋体" w:cs="宋体"/>
          <w:szCs w:val="21"/>
          <w:u w:val="single"/>
        </w:rPr>
      </w:pPr>
      <w:r>
        <w:rPr>
          <w:rFonts w:hint="eastAsia" w:ascii="宋体" w:hAnsi="宋体" w:eastAsia="宋体" w:cs="宋体"/>
          <w:szCs w:val="21"/>
        </w:rPr>
        <w:t>法人（签字）：</w:t>
      </w:r>
      <w:r>
        <w:rPr>
          <w:rFonts w:hint="eastAsia" w:ascii="宋体" w:hAnsi="宋体" w:eastAsia="宋体" w:cs="宋体"/>
          <w:szCs w:val="21"/>
          <w:u w:val="single"/>
        </w:rPr>
        <w:t xml:space="preserve">                            </w:t>
      </w:r>
    </w:p>
    <w:p w14:paraId="2D3C5AB2">
      <w:pPr>
        <w:spacing w:line="400" w:lineRule="exact"/>
        <w:rPr>
          <w:rFonts w:ascii="宋体" w:hAnsi="宋体" w:eastAsia="宋体" w:cs="宋体"/>
          <w:szCs w:val="21"/>
        </w:rPr>
      </w:pPr>
    </w:p>
    <w:p w14:paraId="7F701C8D">
      <w:pPr>
        <w:spacing w:line="400" w:lineRule="exact"/>
        <w:rPr>
          <w:rFonts w:ascii="宋体" w:hAnsi="宋体" w:eastAsia="宋体" w:cs="宋体"/>
          <w:szCs w:val="21"/>
        </w:rPr>
      </w:pPr>
    </w:p>
    <w:p w14:paraId="0B044EC7">
      <w:pPr>
        <w:spacing w:line="400" w:lineRule="exact"/>
        <w:rPr>
          <w:rFonts w:ascii="宋体" w:hAnsi="宋体" w:eastAsia="宋体" w:cs="宋体"/>
          <w:szCs w:val="21"/>
        </w:rPr>
      </w:pPr>
    </w:p>
    <w:p w14:paraId="3F4EDE04">
      <w:pPr>
        <w:spacing w:line="400" w:lineRule="exact"/>
        <w:rPr>
          <w:rFonts w:ascii="宋体" w:hAnsi="宋体" w:eastAsia="宋体" w:cs="宋体"/>
          <w:szCs w:val="21"/>
          <w:u w:val="single"/>
        </w:rPr>
      </w:pPr>
      <w:r>
        <w:rPr>
          <w:rFonts w:hint="eastAsia" w:ascii="宋体" w:hAnsi="宋体" w:eastAsia="宋体" w:cs="宋体"/>
          <w:szCs w:val="21"/>
        </w:rPr>
        <w:t>乙方（盖章）：</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p>
    <w:p w14:paraId="4FA8225C">
      <w:pPr>
        <w:spacing w:line="400" w:lineRule="exact"/>
        <w:rPr>
          <w:rFonts w:ascii="宋体" w:hAnsi="宋体" w:eastAsia="宋体" w:cs="宋体"/>
          <w:szCs w:val="21"/>
          <w:u w:val="single"/>
        </w:rPr>
      </w:pPr>
    </w:p>
    <w:p w14:paraId="003AF446">
      <w:pPr>
        <w:spacing w:line="400" w:lineRule="exact"/>
        <w:rPr>
          <w:rFonts w:ascii="宋体" w:hAnsi="宋体" w:eastAsia="宋体" w:cs="宋体"/>
          <w:szCs w:val="21"/>
          <w:u w:val="single"/>
        </w:rPr>
      </w:pPr>
      <w:r>
        <w:rPr>
          <w:rFonts w:hint="eastAsia" w:ascii="宋体" w:hAnsi="宋体" w:eastAsia="宋体" w:cs="宋体"/>
          <w:szCs w:val="21"/>
        </w:rPr>
        <w:t>法人（签字）：</w:t>
      </w:r>
      <w:r>
        <w:rPr>
          <w:rFonts w:hint="eastAsia" w:ascii="宋体" w:hAnsi="宋体" w:eastAsia="宋体" w:cs="宋体"/>
          <w:szCs w:val="21"/>
          <w:u w:val="single"/>
        </w:rPr>
        <w:t xml:space="preserve">                           </w:t>
      </w:r>
    </w:p>
    <w:p w14:paraId="70B9D487">
      <w:pPr>
        <w:spacing w:line="400" w:lineRule="exact"/>
        <w:rPr>
          <w:rFonts w:ascii="宋体" w:hAnsi="宋体" w:eastAsia="宋体" w:cs="宋体"/>
          <w:szCs w:val="21"/>
        </w:rPr>
      </w:pPr>
    </w:p>
    <w:p w14:paraId="241B3A9A">
      <w:pPr>
        <w:spacing w:line="400" w:lineRule="exact"/>
        <w:rPr>
          <w:rFonts w:ascii="宋体" w:hAnsi="宋体" w:eastAsia="宋体" w:cs="宋体"/>
          <w:szCs w:val="21"/>
        </w:rPr>
      </w:pPr>
    </w:p>
    <w:p w14:paraId="43A3FC0A">
      <w:pPr>
        <w:spacing w:line="400" w:lineRule="exact"/>
        <w:rPr>
          <w:rFonts w:ascii="宋体" w:hAnsi="宋体" w:eastAsia="宋体" w:cs="宋体"/>
          <w:szCs w:val="21"/>
        </w:rPr>
      </w:pPr>
      <w:r>
        <w:rPr>
          <w:rFonts w:hint="eastAsia" w:ascii="宋体" w:hAnsi="宋体" w:eastAsia="宋体" w:cs="宋体"/>
          <w:szCs w:val="21"/>
        </w:rPr>
        <w:t>签署日期：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0508DA29">
      <w:pPr>
        <w:spacing w:line="400" w:lineRule="exact"/>
        <w:rPr>
          <w:rFonts w:ascii="宋体" w:hAnsi="宋体" w:eastAsia="宋体" w:cs="宋体"/>
          <w:color w:val="000000" w:themeColor="text1"/>
          <w:szCs w:val="21"/>
          <w14:textFill>
            <w14:solidFill>
              <w14:schemeClr w14:val="tx1"/>
            </w14:solidFill>
          </w14:textFill>
        </w:rPr>
      </w:pPr>
    </w:p>
    <w:p w14:paraId="2A7DEB8F">
      <w:pPr>
        <w:spacing w:line="400" w:lineRule="exact"/>
        <w:rPr>
          <w:rFonts w:hint="eastAsia" w:ascii="宋体" w:hAnsi="宋体" w:eastAsia="宋体" w:cs="宋体"/>
          <w:color w:val="000000" w:themeColor="text1"/>
          <w:szCs w:val="21"/>
          <w14:textFill>
            <w14:solidFill>
              <w14:schemeClr w14:val="tx1"/>
            </w14:solidFill>
          </w14:textFill>
        </w:rPr>
      </w:pPr>
    </w:p>
    <w:sectPr>
      <w:headerReference r:id="rId9" w:type="default"/>
      <w:footerReference r:id="rId11" w:type="default"/>
      <w:headerReference r:id="rId10" w:type="even"/>
      <w:footerReference r:id="rId12" w:type="even"/>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Microsoft JhengHei">
    <w:panose1 w:val="020B0604030504040204"/>
    <w:charset w:val="88"/>
    <w:family w:val="swiss"/>
    <w:pitch w:val="default"/>
    <w:sig w:usb0="00000087" w:usb1="28AF4000" w:usb2="00000016" w:usb3="00000000" w:csb0="00100009"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80739">
    <w:pPr>
      <w:pStyle w:val="4"/>
      <w:jc w:val="center"/>
    </w:pPr>
  </w:p>
  <w:p w14:paraId="2D6E9FBB">
    <w:pPr>
      <w:pStyle w:val="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648DD">
    <w:pPr>
      <w:pStyle w:val="4"/>
      <w:jc w:val="center"/>
    </w:pPr>
  </w:p>
  <w:p w14:paraId="06886610">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F0621">
    <w:pPr>
      <w:pStyle w:val="4"/>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7931D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147931DF">
                    <w:pPr>
                      <w:pStyle w:val="4"/>
                    </w:pPr>
                    <w:r>
                      <w:fldChar w:fldCharType="begin"/>
                    </w:r>
                    <w:r>
                      <w:instrText xml:space="preserve"> PAGE  \* MERGEFORMAT </w:instrText>
                    </w:r>
                    <w:r>
                      <w:fldChar w:fldCharType="separate"/>
                    </w:r>
                    <w:r>
                      <w:t>1</w:t>
                    </w:r>
                    <w:r>
                      <w:fldChar w:fldCharType="end"/>
                    </w:r>
                  </w:p>
                </w:txbxContent>
              </v:textbox>
            </v:shape>
          </w:pict>
        </mc:Fallback>
      </mc:AlternateContent>
    </w:r>
  </w:p>
  <w:p w14:paraId="384445D1">
    <w:pPr>
      <w:pStyle w:val="4"/>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78F0F">
    <w:pPr>
      <w:pStyle w:val="4"/>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B83B1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1B83B1F">
                    <w:pPr>
                      <w:pStyle w:val="4"/>
                    </w:pPr>
                    <w:r>
                      <w:fldChar w:fldCharType="begin"/>
                    </w:r>
                    <w:r>
                      <w:instrText xml:space="preserve"> PAGE  \* MERGEFORMAT </w:instrText>
                    </w:r>
                    <w:r>
                      <w:fldChar w:fldCharType="separate"/>
                    </w:r>
                    <w:r>
                      <w:t>1</w:t>
                    </w:r>
                    <w:r>
                      <w:fldChar w:fldCharType="end"/>
                    </w:r>
                  </w:p>
                </w:txbxContent>
              </v:textbox>
            </v:shape>
          </w:pict>
        </mc:Fallback>
      </mc:AlternateContent>
    </w:r>
  </w:p>
  <w:p w14:paraId="6561DE07">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5FCA4">
    <w:pPr>
      <w:pStyle w:val="4"/>
      <w:tabs>
        <w:tab w:val="center" w:pos="4366"/>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EF760D">
                          <w:pPr>
                            <w:pStyle w:val="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45EF760D">
                    <w:pPr>
                      <w:pStyle w:val="4"/>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5ED33">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07B610">
                          <w:pPr>
                            <w:pStyle w:val="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3707B610">
                    <w:pPr>
                      <w:pStyle w:val="4"/>
                    </w:pPr>
                    <w:r>
                      <w:fldChar w:fldCharType="begin"/>
                    </w:r>
                    <w:r>
                      <w:instrText xml:space="preserve"> PAGE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994C6">
    <w:pPr>
      <w:pStyle w:val="5"/>
      <w:jc w:val="left"/>
    </w:pPr>
    <w:r>
      <w:drawing>
        <wp:inline distT="0" distB="0" distL="0" distR="0">
          <wp:extent cx="1059815" cy="748665"/>
          <wp:effectExtent l="0" t="0" r="6985" b="63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9987" cy="749366"/>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72B55">
    <w:pPr>
      <w:pStyle w:val="5"/>
      <w:ind w:firstLine="7290" w:firstLineChars="4050"/>
    </w:pPr>
    <w:r>
      <w:drawing>
        <wp:inline distT="0" distB="0" distL="0" distR="0">
          <wp:extent cx="1059815" cy="748665"/>
          <wp:effectExtent l="0" t="0" r="6985" b="1333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9987" cy="74936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0210B">
    <w:pPr>
      <w:pStyle w:val="5"/>
    </w:pPr>
    <w:r>
      <w:drawing>
        <wp:inline distT="0" distB="0" distL="0" distR="0">
          <wp:extent cx="1059815" cy="748665"/>
          <wp:effectExtent l="0" t="0" r="6985" b="133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9987" cy="749366"/>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01DFC">
    <w:pPr>
      <w:pStyle w:val="5"/>
      <w:jc w:val="right"/>
    </w:pPr>
    <w:r>
      <w:drawing>
        <wp:inline distT="0" distB="0" distL="0" distR="0">
          <wp:extent cx="1059815" cy="748665"/>
          <wp:effectExtent l="0" t="0" r="6985" b="1333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9987" cy="74936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053195"/>
    <w:multiLevelType w:val="singleLevel"/>
    <w:tmpl w:val="E9053195"/>
    <w:lvl w:ilvl="0" w:tentative="0">
      <w:start w:val="1"/>
      <w:numFmt w:val="chineseCounting"/>
      <w:suff w:val="nothing"/>
      <w:lvlText w:val="%1、"/>
      <w:lvlJc w:val="left"/>
      <w:rPr>
        <w:rFonts w:hint="eastAsia"/>
      </w:rPr>
    </w:lvl>
  </w:abstractNum>
  <w:abstractNum w:abstractNumId="1">
    <w:nsid w:val="FF8C61DB"/>
    <w:multiLevelType w:val="singleLevel"/>
    <w:tmpl w:val="FF8C61DB"/>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kOWMxMTNmNzU0Yjk2OWE4NjcxNTg0OTJkNGJkYzkifQ=="/>
  </w:docVars>
  <w:rsids>
    <w:rsidRoot w:val="00B20EE2"/>
    <w:rsid w:val="000130C4"/>
    <w:rsid w:val="001F1022"/>
    <w:rsid w:val="002D2635"/>
    <w:rsid w:val="00336AC7"/>
    <w:rsid w:val="003817F2"/>
    <w:rsid w:val="003B7DE6"/>
    <w:rsid w:val="0044235A"/>
    <w:rsid w:val="00502F23"/>
    <w:rsid w:val="005033E4"/>
    <w:rsid w:val="0050794C"/>
    <w:rsid w:val="00515B38"/>
    <w:rsid w:val="005E3CE5"/>
    <w:rsid w:val="006B64FD"/>
    <w:rsid w:val="006C38DF"/>
    <w:rsid w:val="008359DA"/>
    <w:rsid w:val="00887AFD"/>
    <w:rsid w:val="008C0839"/>
    <w:rsid w:val="00926530"/>
    <w:rsid w:val="00A97839"/>
    <w:rsid w:val="00AE5A88"/>
    <w:rsid w:val="00AF5FB4"/>
    <w:rsid w:val="00B115D1"/>
    <w:rsid w:val="00B20EE2"/>
    <w:rsid w:val="00CF334A"/>
    <w:rsid w:val="00D6682A"/>
    <w:rsid w:val="00EA220E"/>
    <w:rsid w:val="00F84601"/>
    <w:rsid w:val="02116E61"/>
    <w:rsid w:val="07C92774"/>
    <w:rsid w:val="080F37E4"/>
    <w:rsid w:val="0A551F33"/>
    <w:rsid w:val="0A9040AD"/>
    <w:rsid w:val="0B4F33B7"/>
    <w:rsid w:val="111E224B"/>
    <w:rsid w:val="187F73B4"/>
    <w:rsid w:val="1A5C41B1"/>
    <w:rsid w:val="222E15AA"/>
    <w:rsid w:val="2FD07AB6"/>
    <w:rsid w:val="3E21766E"/>
    <w:rsid w:val="3EF47905"/>
    <w:rsid w:val="3FF841FF"/>
    <w:rsid w:val="40F56D0E"/>
    <w:rsid w:val="43D47D05"/>
    <w:rsid w:val="48BD10CB"/>
    <w:rsid w:val="4E893BAB"/>
    <w:rsid w:val="5065209C"/>
    <w:rsid w:val="5248680B"/>
    <w:rsid w:val="562879CB"/>
    <w:rsid w:val="5C5F0E0B"/>
    <w:rsid w:val="5FD242A2"/>
    <w:rsid w:val="68C429A8"/>
    <w:rsid w:val="69635503"/>
    <w:rsid w:val="69B2144C"/>
    <w:rsid w:val="6DCB701E"/>
    <w:rsid w:val="75AE7B06"/>
    <w:rsid w:val="790B7794"/>
    <w:rsid w:val="7D8A0E59"/>
    <w:rsid w:val="7F967B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ocument Map"/>
    <w:basedOn w:val="1"/>
    <w:unhideWhenUsed/>
    <w:qFormat/>
    <w:uiPriority w:val="0"/>
    <w:rPr>
      <w:rFonts w:ascii="Microsoft YaHei UI" w:eastAsia="Microsoft YaHei UI"/>
      <w:sz w:val="18"/>
      <w:szCs w:val="18"/>
    </w:rPr>
  </w:style>
  <w:style w:type="paragraph" w:styleId="3">
    <w:name w:val="annotation text"/>
    <w:basedOn w:val="1"/>
    <w:link w:val="13"/>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annotation subject"/>
    <w:basedOn w:val="3"/>
    <w:next w:val="3"/>
    <w:link w:val="14"/>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qFormat/>
    <w:uiPriority w:val="0"/>
    <w:rPr>
      <w:sz w:val="21"/>
      <w:szCs w:val="21"/>
    </w:rPr>
  </w:style>
  <w:style w:type="paragraph" w:customStyle="1" w:styleId="11">
    <w:name w:val="Table Paragraph"/>
    <w:basedOn w:val="1"/>
    <w:autoRedefine/>
    <w:qFormat/>
    <w:uiPriority w:val="1"/>
  </w:style>
  <w:style w:type="paragraph" w:styleId="12">
    <w:name w:val="List Paragraph"/>
    <w:basedOn w:val="1"/>
    <w:qFormat/>
    <w:uiPriority w:val="34"/>
    <w:pPr>
      <w:spacing w:before="81"/>
      <w:ind w:left="2026" w:hanging="896"/>
    </w:pPr>
  </w:style>
  <w:style w:type="character" w:customStyle="1" w:styleId="13">
    <w:name w:val="批注文字 字符"/>
    <w:basedOn w:val="9"/>
    <w:link w:val="3"/>
    <w:qFormat/>
    <w:uiPriority w:val="0"/>
    <w:rPr>
      <w:kern w:val="2"/>
      <w:sz w:val="21"/>
      <w:szCs w:val="24"/>
    </w:rPr>
  </w:style>
  <w:style w:type="character" w:customStyle="1" w:styleId="14">
    <w:name w:val="批注主题 字符"/>
    <w:basedOn w:val="13"/>
    <w:link w:val="6"/>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36</Pages>
  <Words>21584</Words>
  <Characters>22434</Characters>
  <Lines>197</Lines>
  <Paragraphs>55</Paragraphs>
  <TotalTime>20</TotalTime>
  <ScaleCrop>false</ScaleCrop>
  <LinksUpToDate>false</LinksUpToDate>
  <CharactersWithSpaces>23945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2023-04-27T08:45:00Z</dcterms:created>
  <dc:creator>lenovo</dc:creator>
  <cp:lastModifiedBy>何海艳</cp:lastModifiedBy>
  <cp:lastPrinted>2026-03-30T08:27:00Z</cp:lastPrinted>
  <dcterms:modified xsi:type="dcterms:W3CDTF">2026-08-19T08:31:47Z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01746E549AE04D61A27F3E647550DD34_13</vt:lpwstr>
  </property>
  <property fmtid="{D5CDD505-2E9C-101B-9397-08002B2CF9AE}" pid="4" name="KSOTemplateDocerSaveRecord">
    <vt:lpwstr>eyJoZGlkIjoiOGEyZWUyYTRjMmVjZmUwNWI1ZDliZTE2OWU4MDZmZDMiLCJ1c2VySWQiOiIxNjc0Nzc1MDMwIn0=</vt:lpwstr>
  </property>
</Properties>
</file>