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1D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color w:val="auto"/>
          <w:sz w:val="36"/>
          <w:szCs w:val="36"/>
          <w:highlight w:val="none"/>
          <w:lang w:val="en-US" w:eastAsia="zh-CN"/>
        </w:rPr>
      </w:pPr>
      <w:r>
        <w:rPr>
          <w:rFonts w:hint="eastAsia" w:ascii="仿宋_GB2312" w:hAnsi="仿宋_GB2312" w:eastAsia="仿宋_GB2312" w:cs="仿宋_GB2312"/>
          <w:color w:val="auto"/>
          <w:sz w:val="32"/>
          <w:szCs w:val="32"/>
          <w:highlight w:val="none"/>
          <w:lang w:val="en-US" w:eastAsia="zh-CN"/>
        </w:rPr>
        <w:t>附件1：</w:t>
      </w:r>
    </w:p>
    <w:p w14:paraId="0B2E2421">
      <w:pPr>
        <w:pStyle w:val="5"/>
        <w:adjustRightInd w:val="0"/>
        <w:snapToGrid w:val="0"/>
        <w:spacing w:beforeLines="0" w:afterLines="0" w:line="360" w:lineRule="auto"/>
        <w:jc w:val="center"/>
        <w:rPr>
          <w:rFonts w:ascii="Times New Roman" w:hAnsi="Times New Roman"/>
          <w:b/>
          <w:color w:val="auto"/>
          <w:sz w:val="36"/>
          <w:szCs w:val="36"/>
          <w:highlight w:val="none"/>
        </w:rPr>
      </w:pPr>
      <w:r>
        <w:rPr>
          <w:rFonts w:hint="eastAsia" w:ascii="Times New Roman" w:hAnsi="Times New Roman"/>
          <w:b/>
          <w:color w:val="auto"/>
          <w:sz w:val="44"/>
          <w:szCs w:val="44"/>
          <w:highlight w:val="none"/>
        </w:rPr>
        <w:t>遴选</w:t>
      </w:r>
      <w:r>
        <w:rPr>
          <w:rFonts w:ascii="Times New Roman" w:hAnsi="Times New Roman"/>
          <w:b/>
          <w:color w:val="auto"/>
          <w:sz w:val="44"/>
          <w:szCs w:val="44"/>
          <w:highlight w:val="none"/>
        </w:rPr>
        <w:t>办法及评分标准</w:t>
      </w:r>
    </w:p>
    <w:p w14:paraId="4B48C1F7">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一</w:t>
      </w:r>
      <w:r>
        <w:rPr>
          <w:rFonts w:hint="eastAsia" w:ascii="仿宋_GB2312" w:hAnsi="仿宋_GB2312" w:eastAsia="仿宋_GB2312" w:cs="仿宋_GB2312"/>
          <w:b/>
          <w:color w:val="auto"/>
          <w:sz w:val="32"/>
          <w:szCs w:val="32"/>
          <w:highlight w:val="none"/>
        </w:rPr>
        <w:t>． 遴选组织</w:t>
      </w:r>
    </w:p>
    <w:p w14:paraId="22FFA98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遴选工作由遴选委员会负责，遴选委员会成员为5人。</w:t>
      </w:r>
    </w:p>
    <w:p w14:paraId="237BD9D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．遴选程序和内容</w:t>
      </w:r>
    </w:p>
    <w:p w14:paraId="39F0458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熟悉遴选文件和遴选办法</w:t>
      </w:r>
      <w:r>
        <w:rPr>
          <w:rFonts w:hint="eastAsia" w:ascii="仿宋_GB2312" w:hAnsi="仿宋_GB2312" w:eastAsia="仿宋_GB2312" w:cs="仿宋_GB2312"/>
          <w:color w:val="auto"/>
          <w:sz w:val="32"/>
          <w:szCs w:val="32"/>
          <w:highlight w:val="none"/>
          <w:lang w:val="en-US" w:eastAsia="zh-CN"/>
        </w:rPr>
        <w:t>及评分标准</w:t>
      </w:r>
      <w:r>
        <w:rPr>
          <w:rFonts w:hint="eastAsia" w:ascii="仿宋_GB2312" w:hAnsi="仿宋_GB2312" w:eastAsia="仿宋_GB2312" w:cs="仿宋_GB2312"/>
          <w:color w:val="auto"/>
          <w:sz w:val="32"/>
          <w:szCs w:val="32"/>
          <w:highlight w:val="none"/>
        </w:rPr>
        <w:t xml:space="preserve">； </w:t>
      </w:r>
    </w:p>
    <w:p w14:paraId="471FEA7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资格审查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审查</w:t>
      </w:r>
      <w:r>
        <w:rPr>
          <w:rFonts w:hint="eastAsia" w:ascii="仿宋_GB2312" w:hAnsi="仿宋_GB2312" w:eastAsia="仿宋_GB2312" w:cs="仿宋_GB2312"/>
          <w:color w:val="auto"/>
          <w:sz w:val="32"/>
          <w:szCs w:val="32"/>
          <w:highlight w:val="none"/>
          <w:lang w:val="en-US" w:eastAsia="zh-CN"/>
        </w:rPr>
        <w:t>申请机构</w:t>
      </w:r>
      <w:r>
        <w:rPr>
          <w:rFonts w:hint="eastAsia" w:ascii="仿宋_GB2312" w:hAnsi="仿宋_GB2312" w:eastAsia="仿宋_GB2312" w:cs="仿宋_GB2312"/>
          <w:color w:val="auto"/>
          <w:sz w:val="32"/>
          <w:szCs w:val="32"/>
          <w:highlight w:val="none"/>
        </w:rPr>
        <w:t>资格是否满足遴选公告要求，如不满足</w:t>
      </w:r>
      <w:r>
        <w:rPr>
          <w:rFonts w:hint="eastAsia" w:ascii="仿宋_GB2312" w:hAnsi="仿宋_GB2312" w:eastAsia="仿宋_GB2312" w:cs="仿宋_GB2312"/>
          <w:color w:val="auto"/>
          <w:sz w:val="32"/>
          <w:szCs w:val="32"/>
          <w:highlight w:val="none"/>
          <w:lang w:val="en-US" w:eastAsia="zh-CN"/>
        </w:rPr>
        <w:t>则直接淘汰</w:t>
      </w:r>
      <w:r>
        <w:rPr>
          <w:rFonts w:hint="eastAsia" w:ascii="仿宋_GB2312" w:hAnsi="仿宋_GB2312" w:eastAsia="仿宋_GB2312" w:cs="仿宋_GB2312"/>
          <w:color w:val="auto"/>
          <w:sz w:val="32"/>
          <w:szCs w:val="32"/>
          <w:highlight w:val="none"/>
        </w:rPr>
        <w:t>。</w:t>
      </w:r>
    </w:p>
    <w:p w14:paraId="273170D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符合性审查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对申请机构递交材料内容进行符合性审查，</w:t>
      </w:r>
      <w:r>
        <w:rPr>
          <w:rFonts w:hint="eastAsia" w:ascii="仿宋_GB2312" w:hAnsi="仿宋_GB2312" w:eastAsia="仿宋_GB2312" w:cs="仿宋_GB2312"/>
          <w:color w:val="auto"/>
          <w:sz w:val="32"/>
          <w:szCs w:val="32"/>
          <w:highlight w:val="none"/>
        </w:rPr>
        <w:t>不满足遴选资格条件或不响应遴选</w:t>
      </w:r>
      <w:r>
        <w:rPr>
          <w:rFonts w:hint="eastAsia" w:ascii="仿宋_GB2312" w:hAnsi="仿宋_GB2312" w:eastAsia="仿宋_GB2312" w:cs="仿宋_GB2312"/>
          <w:color w:val="auto"/>
          <w:sz w:val="32"/>
          <w:szCs w:val="32"/>
          <w:highlight w:val="none"/>
          <w:lang w:val="en-US" w:eastAsia="zh-CN"/>
        </w:rPr>
        <w:t>文件</w:t>
      </w:r>
      <w:r>
        <w:rPr>
          <w:rFonts w:hint="eastAsia" w:ascii="仿宋_GB2312" w:hAnsi="仿宋_GB2312" w:eastAsia="仿宋_GB2312" w:cs="仿宋_GB2312"/>
          <w:color w:val="auto"/>
          <w:sz w:val="32"/>
          <w:szCs w:val="32"/>
          <w:highlight w:val="none"/>
        </w:rPr>
        <w:t>的实质性要求，存在以下情况之一的，作为符合性审查未通过予以废除，不再进行</w:t>
      </w:r>
      <w:r>
        <w:rPr>
          <w:rFonts w:hint="eastAsia" w:ascii="仿宋_GB2312" w:hAnsi="仿宋_GB2312" w:eastAsia="仿宋_GB2312" w:cs="仿宋_GB2312"/>
          <w:color w:val="auto"/>
          <w:sz w:val="32"/>
          <w:szCs w:val="32"/>
          <w:highlight w:val="none"/>
          <w:lang w:val="en-US" w:eastAsia="zh-CN"/>
        </w:rPr>
        <w:t>评分</w:t>
      </w:r>
      <w:r>
        <w:rPr>
          <w:rFonts w:hint="eastAsia" w:ascii="仿宋_GB2312" w:hAnsi="仿宋_GB2312" w:eastAsia="仿宋_GB2312" w:cs="仿宋_GB2312"/>
          <w:color w:val="auto"/>
          <w:sz w:val="32"/>
          <w:szCs w:val="32"/>
          <w:highlight w:val="none"/>
        </w:rPr>
        <w:t xml:space="preserve">： </w:t>
      </w:r>
    </w:p>
    <w:p w14:paraId="36527DA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未按遴选文件的要求签字和盖章的；</w:t>
      </w:r>
    </w:p>
    <w:p w14:paraId="462A28A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授权代表无法定代表人出具的授权委托书的；　</w:t>
      </w:r>
    </w:p>
    <w:p w14:paraId="650FE24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3、申请机构</w:t>
      </w:r>
      <w:r>
        <w:rPr>
          <w:rFonts w:hint="eastAsia" w:ascii="仿宋_GB2312" w:hAnsi="仿宋_GB2312" w:eastAsia="仿宋_GB2312" w:cs="仿宋_GB2312"/>
          <w:color w:val="auto"/>
          <w:sz w:val="32"/>
          <w:szCs w:val="32"/>
          <w:highlight w:val="none"/>
        </w:rPr>
        <w:t>的资质、业绩、人员等条件未满足遴选</w:t>
      </w:r>
      <w:r>
        <w:rPr>
          <w:rFonts w:hint="eastAsia" w:ascii="仿宋_GB2312" w:hAnsi="仿宋_GB2312" w:eastAsia="仿宋_GB2312" w:cs="仿宋_GB2312"/>
          <w:color w:val="auto"/>
          <w:sz w:val="32"/>
          <w:szCs w:val="32"/>
          <w:highlight w:val="none"/>
          <w:lang w:val="en-US" w:eastAsia="zh-CN"/>
        </w:rPr>
        <w:t>公告</w:t>
      </w:r>
      <w:r>
        <w:rPr>
          <w:rFonts w:hint="eastAsia" w:ascii="仿宋_GB2312" w:hAnsi="仿宋_GB2312" w:eastAsia="仿宋_GB2312" w:cs="仿宋_GB2312"/>
          <w:color w:val="auto"/>
          <w:sz w:val="32"/>
          <w:szCs w:val="32"/>
          <w:highlight w:val="none"/>
        </w:rPr>
        <w:t>实质性要求的；</w:t>
      </w:r>
    </w:p>
    <w:p w14:paraId="41F3C2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4、申请机构</w:t>
      </w:r>
      <w:r>
        <w:rPr>
          <w:rFonts w:hint="eastAsia" w:ascii="仿宋_GB2312" w:hAnsi="仿宋_GB2312" w:eastAsia="仿宋_GB2312" w:cs="仿宋_GB2312"/>
          <w:color w:val="auto"/>
          <w:sz w:val="32"/>
          <w:szCs w:val="32"/>
          <w:highlight w:val="none"/>
        </w:rPr>
        <w:t>递交两份或多份内容不同的遴选响应文件；</w:t>
      </w:r>
    </w:p>
    <w:p w14:paraId="2BBF4D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5、文件递交</w:t>
      </w:r>
      <w:r>
        <w:rPr>
          <w:rFonts w:hint="eastAsia" w:ascii="仿宋_GB2312" w:hAnsi="仿宋_GB2312" w:eastAsia="仿宋_GB2312" w:cs="仿宋_GB2312"/>
          <w:color w:val="auto"/>
          <w:sz w:val="32"/>
          <w:szCs w:val="32"/>
          <w:highlight w:val="none"/>
        </w:rPr>
        <w:t>有效期不满足遴选</w:t>
      </w:r>
      <w:r>
        <w:rPr>
          <w:rFonts w:hint="eastAsia" w:ascii="仿宋_GB2312" w:hAnsi="仿宋_GB2312" w:eastAsia="仿宋_GB2312" w:cs="仿宋_GB2312"/>
          <w:color w:val="auto"/>
          <w:sz w:val="32"/>
          <w:szCs w:val="32"/>
          <w:highlight w:val="none"/>
          <w:lang w:val="en-US" w:eastAsia="zh-CN"/>
        </w:rPr>
        <w:t>公告</w:t>
      </w:r>
      <w:r>
        <w:rPr>
          <w:rFonts w:hint="eastAsia" w:ascii="仿宋_GB2312" w:hAnsi="仿宋_GB2312" w:eastAsia="仿宋_GB2312" w:cs="仿宋_GB2312"/>
          <w:color w:val="auto"/>
          <w:sz w:val="32"/>
          <w:szCs w:val="32"/>
          <w:highlight w:val="none"/>
        </w:rPr>
        <w:t>要求的；</w:t>
      </w:r>
    </w:p>
    <w:p w14:paraId="1710474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文件评审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由遴选委员会成员在规定的分值内各自评审打分，</w:t>
      </w:r>
      <w:r>
        <w:rPr>
          <w:rFonts w:hint="eastAsia" w:ascii="仿宋_GB2312" w:hAnsi="仿宋_GB2312" w:eastAsia="仿宋_GB2312" w:cs="仿宋_GB2312"/>
          <w:color w:val="auto"/>
          <w:sz w:val="32"/>
          <w:szCs w:val="32"/>
          <w:highlight w:val="none"/>
          <w:lang w:val="en-US" w:eastAsia="zh-CN"/>
        </w:rPr>
        <w:t>申请机构</w:t>
      </w:r>
      <w:r>
        <w:rPr>
          <w:rFonts w:hint="eastAsia" w:ascii="仿宋_GB2312" w:hAnsi="仿宋_GB2312" w:eastAsia="仿宋_GB2312" w:cs="仿宋_GB2312"/>
          <w:color w:val="auto"/>
          <w:sz w:val="32"/>
          <w:szCs w:val="32"/>
          <w:highlight w:val="none"/>
        </w:rPr>
        <w:t>的最终遴选得分为所有遴选委员会各自有效评分的平均值。</w:t>
      </w:r>
    </w:p>
    <w:p w14:paraId="6D03B4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根据遴选办法对</w:t>
      </w:r>
      <w:r>
        <w:rPr>
          <w:rFonts w:hint="eastAsia" w:ascii="仿宋_GB2312" w:hAnsi="仿宋_GB2312" w:eastAsia="仿宋_GB2312" w:cs="仿宋_GB2312"/>
          <w:color w:val="auto"/>
          <w:sz w:val="32"/>
          <w:szCs w:val="32"/>
          <w:highlight w:val="none"/>
          <w:lang w:val="en-US" w:eastAsia="zh-CN"/>
        </w:rPr>
        <w:t>申请机构</w:t>
      </w:r>
      <w:r>
        <w:rPr>
          <w:rFonts w:hint="eastAsia" w:ascii="仿宋_GB2312" w:hAnsi="仿宋_GB2312" w:eastAsia="仿宋_GB2312" w:cs="仿宋_GB2312"/>
          <w:color w:val="auto"/>
          <w:sz w:val="32"/>
          <w:szCs w:val="32"/>
          <w:highlight w:val="none"/>
        </w:rPr>
        <w:t>进行行综合评分、排序；</w:t>
      </w:r>
    </w:p>
    <w:p w14:paraId="41BBB6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完成遴选报告，推荐中选候选人。遴选委员会全体成员应在遴选报告上签字认可，如有保留意见可以在遴选报告中阐明。</w:t>
      </w:r>
    </w:p>
    <w:p w14:paraId="35CFA5C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四、遴选细则</w:t>
      </w:r>
    </w:p>
    <w:p w14:paraId="17A5B1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pPr>
      <w:r>
        <w:rPr>
          <w:rFonts w:hint="eastAsia" w:ascii="仿宋_GB2312" w:hAnsi="仿宋_GB2312" w:eastAsia="仿宋_GB2312" w:cs="仿宋_GB2312"/>
          <w:color w:val="auto"/>
          <w:sz w:val="32"/>
          <w:szCs w:val="32"/>
          <w:highlight w:val="none"/>
        </w:rPr>
        <w:t>遴选委员会</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基于申报人申报材料的内容，按照评分表进行评分。评分表总分100分，评分内容及评分细则见附件。</w:t>
      </w:r>
    </w:p>
    <w:p w14:paraId="2B64F1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根据综合评分情况，按照评审总得分由高到低进行排序，总得分第一且分数80分以上（含80分）的申报人拟定为初步候选管理机构。若初审合格的申报人只有一家，则只对其一家进行现场评审，评审总得分达到80分以上（含80分）即拟定为初步候选管理机构。如出现总得分并列第一情况，依次按“基金管理费率报价”、“基金运作管理方案”、“投资案例及管理规模经验”、“管理团队”、“项目储备”单项得分进行比较，选取初步候选管理机构。如分项得分都一致，由</w:t>
      </w:r>
      <w:r>
        <w:rPr>
          <w:rFonts w:hint="eastAsia" w:ascii="仿宋_GB2312" w:hAnsi="仿宋_GB2312" w:eastAsia="仿宋_GB2312" w:cs="仿宋_GB2312"/>
          <w:color w:val="auto"/>
          <w:sz w:val="32"/>
          <w:szCs w:val="32"/>
          <w:highlight w:val="none"/>
        </w:rPr>
        <w:t>遴选委员会</w:t>
      </w:r>
      <w:r>
        <w:rPr>
          <w:rFonts w:hint="eastAsia" w:ascii="仿宋_GB2312" w:hAnsi="仿宋_GB2312" w:eastAsia="仿宋_GB2312" w:cs="仿宋_GB2312"/>
          <w:color w:val="auto"/>
          <w:sz w:val="32"/>
          <w:szCs w:val="32"/>
          <w:highlight w:val="none"/>
          <w:lang w:val="en-US" w:eastAsia="zh-CN"/>
        </w:rPr>
        <w:t>少数服从多数原则，</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选取初步候选管理机构。</w:t>
      </w:r>
    </w:p>
    <w:p w14:paraId="5FDEE6DD">
      <w:pPr>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2AA8CCE3">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附件：评分表</w:t>
      </w:r>
    </w:p>
    <w:tbl>
      <w:tblPr>
        <w:tblStyle w:val="9"/>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603"/>
        <w:gridCol w:w="6604"/>
        <w:gridCol w:w="900"/>
      </w:tblGrid>
      <w:tr w14:paraId="7BB4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88" w:type="dxa"/>
            <w:noWrap w:val="0"/>
            <w:vAlign w:val="center"/>
          </w:tcPr>
          <w:p w14:paraId="4C81EA2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1603" w:type="dxa"/>
            <w:noWrap w:val="0"/>
            <w:vAlign w:val="center"/>
          </w:tcPr>
          <w:p w14:paraId="372C23F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评标项目</w:t>
            </w:r>
          </w:p>
        </w:tc>
        <w:tc>
          <w:tcPr>
            <w:tcW w:w="6604" w:type="dxa"/>
            <w:noWrap w:val="0"/>
            <w:vAlign w:val="center"/>
          </w:tcPr>
          <w:p w14:paraId="23DFA34F">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b/>
                <w:bCs/>
                <w:color w:val="auto"/>
                <w:lang w:val="en-US" w:eastAsia="zh-CN"/>
              </w:rPr>
            </w:pPr>
            <w:r>
              <w:rPr>
                <w:rFonts w:hint="eastAsia"/>
                <w:b/>
                <w:bCs/>
                <w:color w:val="auto"/>
              </w:rPr>
              <w:t>评分说明</w:t>
            </w:r>
          </w:p>
        </w:tc>
        <w:tc>
          <w:tcPr>
            <w:tcW w:w="900" w:type="dxa"/>
            <w:noWrap w:val="0"/>
            <w:vAlign w:val="center"/>
          </w:tcPr>
          <w:p w14:paraId="688E105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zCs w:val="21"/>
                <w:lang w:val="en-US" w:eastAsia="zh-CN"/>
              </w:rPr>
            </w:pPr>
            <w:r>
              <w:rPr>
                <w:rFonts w:hint="eastAsia" w:ascii="宋体" w:hAnsi="宋体" w:eastAsia="宋体" w:cs="宋体"/>
                <w:b/>
                <w:bCs/>
                <w:color w:val="auto"/>
                <w:szCs w:val="21"/>
              </w:rPr>
              <w:t>分值</w:t>
            </w:r>
          </w:p>
        </w:tc>
      </w:tr>
      <w:tr w14:paraId="158C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888" w:type="dxa"/>
            <w:noWrap w:val="0"/>
            <w:vAlign w:val="center"/>
          </w:tcPr>
          <w:p w14:paraId="6433619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1603" w:type="dxa"/>
            <w:noWrap w:val="0"/>
            <w:vAlign w:val="center"/>
          </w:tcPr>
          <w:p w14:paraId="3ACC7D1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基本情况</w:t>
            </w:r>
          </w:p>
        </w:tc>
        <w:tc>
          <w:tcPr>
            <w:tcW w:w="6604" w:type="dxa"/>
            <w:noWrap w:val="0"/>
            <w:vAlign w:val="center"/>
          </w:tcPr>
          <w:p w14:paraId="63418D35">
            <w:pPr>
              <w:widowControl/>
              <w:numPr>
                <w:ilvl w:val="0"/>
                <w:numId w:val="0"/>
              </w:numPr>
              <w:jc w:val="left"/>
              <w:rPr>
                <w:rFonts w:hint="default" w:ascii="宋体" w:hAnsi="宋体" w:cs="宋体" w:eastAsiaTheme="minorEastAsia"/>
                <w:color w:val="auto"/>
                <w:spacing w:val="0"/>
                <w:kern w:val="0"/>
                <w:sz w:val="21"/>
                <w:szCs w:val="21"/>
                <w:highlight w:val="none"/>
                <w:lang w:val="en-US" w:eastAsia="zh-CN" w:bidi="ar-SA"/>
              </w:rPr>
            </w:pPr>
            <w:r>
              <w:rPr>
                <w:rFonts w:hint="eastAsia" w:ascii="宋体" w:hAnsi="宋体" w:cs="宋体"/>
                <w:color w:val="auto"/>
                <w:kern w:val="0"/>
                <w:szCs w:val="21"/>
                <w:highlight w:val="none"/>
                <w:lang w:val="en-US" w:eastAsia="zh-CN"/>
              </w:rPr>
              <w:t>1、申请机构至2025年6月30日，成立满3年（含）的得3分，满4年（含）不足6年的，得4分，满6年（含）及以上的得5分。本项满分5分。</w:t>
            </w:r>
          </w:p>
        </w:tc>
        <w:tc>
          <w:tcPr>
            <w:tcW w:w="900" w:type="dxa"/>
            <w:noWrap w:val="0"/>
            <w:vAlign w:val="center"/>
          </w:tcPr>
          <w:p w14:paraId="5CD89C2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分</w:t>
            </w:r>
          </w:p>
        </w:tc>
      </w:tr>
      <w:tr w14:paraId="3567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jc w:val="center"/>
        </w:trPr>
        <w:tc>
          <w:tcPr>
            <w:tcW w:w="888" w:type="dxa"/>
            <w:noWrap w:val="0"/>
            <w:vAlign w:val="center"/>
          </w:tcPr>
          <w:p w14:paraId="17F9548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2</w:t>
            </w:r>
          </w:p>
        </w:tc>
        <w:tc>
          <w:tcPr>
            <w:tcW w:w="1603" w:type="dxa"/>
            <w:noWrap w:val="0"/>
            <w:vAlign w:val="center"/>
          </w:tcPr>
          <w:p w14:paraId="77AB171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hAnsi="宋体" w:cs="宋体"/>
                <w:color w:val="auto"/>
                <w:szCs w:val="21"/>
              </w:rPr>
            </w:pPr>
            <w:r>
              <w:rPr>
                <w:rFonts w:hint="eastAsia" w:ascii="宋体" w:hAnsi="宋体" w:eastAsia="宋体" w:cs="宋体"/>
                <w:color w:val="auto"/>
                <w:szCs w:val="21"/>
                <w:lang w:val="en-US" w:eastAsia="zh-CN"/>
              </w:rPr>
              <w:t>管理机制</w:t>
            </w:r>
          </w:p>
        </w:tc>
        <w:tc>
          <w:tcPr>
            <w:tcW w:w="6604" w:type="dxa"/>
            <w:noWrap w:val="0"/>
            <w:vAlign w:val="center"/>
          </w:tcPr>
          <w:p w14:paraId="75C1616A">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申请机构“募投管退”相关的内部管理制度内容：包括但不限于募集管理、投资决策机制、风险控制机制、投后管理机制、退出管理机制、信息披露机制、财务管理制度等。</w:t>
            </w:r>
          </w:p>
          <w:p w14:paraId="157B4D81">
            <w:pPr>
              <w:widowControl/>
              <w:numPr>
                <w:ilvl w:val="0"/>
                <w:numId w:val="0"/>
              </w:numPr>
              <w:jc w:val="left"/>
              <w:rPr>
                <w:rFonts w:hint="eastAsia" w:ascii="宋体" w:hAnsi="宋体" w:eastAsia="宋体" w:cs="宋体"/>
                <w:color w:val="auto"/>
                <w:sz w:val="21"/>
                <w:szCs w:val="21"/>
                <w:lang w:val="zh-CN"/>
              </w:rPr>
            </w:pPr>
            <w:r>
              <w:rPr>
                <w:rFonts w:hint="eastAsia" w:ascii="宋体" w:hAnsi="宋体" w:cs="宋体"/>
                <w:color w:val="auto"/>
                <w:kern w:val="0"/>
                <w:szCs w:val="21"/>
                <w:highlight w:val="none"/>
                <w:lang w:val="en-US" w:eastAsia="zh-CN"/>
              </w:rPr>
              <w:t>根据申请机构提供相关内控制度是否健全完善进行综合评</w:t>
            </w:r>
            <w:bookmarkStart w:id="0" w:name="_GoBack"/>
            <w:bookmarkEnd w:id="0"/>
            <w:r>
              <w:rPr>
                <w:rFonts w:hint="eastAsia" w:ascii="宋体" w:hAnsi="宋体" w:cs="宋体"/>
                <w:color w:val="auto"/>
                <w:kern w:val="0"/>
                <w:szCs w:val="21"/>
                <w:highlight w:val="none"/>
                <w:lang w:val="en-US" w:eastAsia="zh-CN"/>
              </w:rPr>
              <w:t>分。提供包含上述所列全部制度的得7分；缺少上述所列1个制度的扣3分；另对所有申报机构提供制度健全程序进行横向比较赋分0-3分。</w:t>
            </w:r>
          </w:p>
        </w:tc>
        <w:tc>
          <w:tcPr>
            <w:tcW w:w="900" w:type="dxa"/>
            <w:noWrap w:val="0"/>
            <w:vAlign w:val="center"/>
          </w:tcPr>
          <w:p w14:paraId="0E92B64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10分</w:t>
            </w:r>
          </w:p>
        </w:tc>
      </w:tr>
      <w:tr w14:paraId="612D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dxa"/>
            <w:noWrap w:val="0"/>
            <w:vAlign w:val="center"/>
          </w:tcPr>
          <w:p w14:paraId="6F35E10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3</w:t>
            </w:r>
          </w:p>
        </w:tc>
        <w:tc>
          <w:tcPr>
            <w:tcW w:w="1603" w:type="dxa"/>
            <w:noWrap w:val="0"/>
            <w:vAlign w:val="center"/>
          </w:tcPr>
          <w:p w14:paraId="302D0A8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管理团队</w:t>
            </w:r>
          </w:p>
        </w:tc>
        <w:tc>
          <w:tcPr>
            <w:tcW w:w="6604" w:type="dxa"/>
            <w:noWrap w:val="0"/>
            <w:vAlign w:val="center"/>
          </w:tcPr>
          <w:p w14:paraId="67795B62">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1、申请机构</w:t>
            </w:r>
            <w:r>
              <w:rPr>
                <w:rFonts w:hint="default" w:ascii="宋体" w:hAnsi="宋体" w:cs="宋体"/>
                <w:color w:val="auto"/>
                <w:kern w:val="0"/>
                <w:szCs w:val="21"/>
                <w:highlight w:val="none"/>
                <w:lang w:val="en-US" w:eastAsia="zh-CN"/>
              </w:rPr>
              <w:t>具备</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名5年以上</w:t>
            </w:r>
            <w:r>
              <w:rPr>
                <w:rFonts w:hint="eastAsia" w:ascii="宋体" w:hAnsi="宋体" w:cs="宋体"/>
                <w:color w:val="auto"/>
                <w:kern w:val="0"/>
                <w:szCs w:val="21"/>
                <w:highlight w:val="none"/>
                <w:lang w:val="en-US" w:eastAsia="zh-CN"/>
              </w:rPr>
              <w:t>（含）</w:t>
            </w:r>
            <w:r>
              <w:rPr>
                <w:rFonts w:hint="default" w:ascii="宋体" w:hAnsi="宋体" w:cs="宋体"/>
                <w:color w:val="auto"/>
                <w:kern w:val="0"/>
                <w:szCs w:val="21"/>
                <w:highlight w:val="none"/>
                <w:lang w:val="en-US" w:eastAsia="zh-CN"/>
              </w:rPr>
              <w:t>股权投资或股权投资基金管理工作经验</w:t>
            </w:r>
            <w:r>
              <w:rPr>
                <w:rFonts w:hint="eastAsia" w:ascii="宋体" w:hAnsi="宋体" w:cs="宋体"/>
                <w:color w:val="auto"/>
                <w:kern w:val="0"/>
                <w:szCs w:val="21"/>
                <w:highlight w:val="none"/>
                <w:lang w:val="en-US" w:eastAsia="zh-CN"/>
              </w:rPr>
              <w:t>高级管理人员（总经理、副总经理、财务负责人、投资负责人、风控负责人、运营负责人等对机构经营管理、运营、风险控制有决策权或重要影响力的人员，管理经验需提供相关简历说明）的，得3分，5名及以上的加2分，高级管理人员团队中有10年及以上</w:t>
            </w:r>
            <w:r>
              <w:rPr>
                <w:rFonts w:hint="default" w:ascii="宋体" w:hAnsi="宋体" w:cs="宋体"/>
                <w:color w:val="auto"/>
                <w:kern w:val="0"/>
                <w:szCs w:val="21"/>
                <w:highlight w:val="none"/>
                <w:lang w:val="en-US" w:eastAsia="zh-CN"/>
              </w:rPr>
              <w:t>股权投资或股权投资基金管理工作经验</w:t>
            </w:r>
            <w:r>
              <w:rPr>
                <w:rFonts w:hint="eastAsia" w:ascii="宋体" w:hAnsi="宋体" w:cs="宋体"/>
                <w:color w:val="auto"/>
                <w:kern w:val="0"/>
                <w:szCs w:val="21"/>
                <w:highlight w:val="none"/>
                <w:lang w:val="en-US" w:eastAsia="zh-CN"/>
              </w:rPr>
              <w:t>的加2分。本项最高7分。</w:t>
            </w:r>
          </w:p>
          <w:p w14:paraId="0DD8B333">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2、高级管理人员团队中1名及以上有S基金管理经验的（基金协议主要投资方式需包含受让基金份额，且基金协议或基金备案材料中有明确基金管理人员名单或关键人员名单），得3分。本项最高3分。</w:t>
            </w:r>
          </w:p>
          <w:p w14:paraId="2F8CB9E7">
            <w:pPr>
              <w:widowControl/>
              <w:numPr>
                <w:ilvl w:val="0"/>
                <w:numId w:val="0"/>
              </w:numPr>
              <w:jc w:val="left"/>
              <w:rPr>
                <w:rFonts w:hint="eastAsia"/>
              </w:rPr>
            </w:pPr>
            <w:r>
              <w:rPr>
                <w:rFonts w:hint="eastAsia" w:ascii="宋体" w:hAnsi="宋体" w:cs="宋体"/>
                <w:color w:val="auto"/>
                <w:kern w:val="0"/>
                <w:szCs w:val="21"/>
                <w:highlight w:val="none"/>
                <w:lang w:val="en-US" w:eastAsia="zh-CN"/>
              </w:rPr>
              <w:t>3、申请机构为本基金配备成员不少于3名（含），其中高级</w:t>
            </w:r>
            <w:r>
              <w:rPr>
                <w:rFonts w:hint="default" w:ascii="宋体" w:hAnsi="宋体" w:cs="宋体"/>
                <w:color w:val="auto"/>
                <w:kern w:val="0"/>
                <w:szCs w:val="21"/>
                <w:highlight w:val="none"/>
                <w:lang w:val="en-US" w:eastAsia="zh-CN"/>
              </w:rPr>
              <w:t>管理</w:t>
            </w:r>
            <w:r>
              <w:rPr>
                <w:rFonts w:hint="eastAsia" w:ascii="宋体" w:hAnsi="宋体" w:cs="宋体"/>
                <w:color w:val="auto"/>
                <w:kern w:val="0"/>
                <w:szCs w:val="21"/>
                <w:highlight w:val="none"/>
                <w:lang w:val="en-US" w:eastAsia="zh-CN"/>
              </w:rPr>
              <w:t>人</w:t>
            </w:r>
            <w:r>
              <w:rPr>
                <w:rFonts w:hint="default" w:ascii="宋体" w:hAnsi="宋体" w:cs="宋体"/>
                <w:color w:val="auto"/>
                <w:kern w:val="0"/>
                <w:szCs w:val="21"/>
                <w:highlight w:val="none"/>
                <w:lang w:val="en-US" w:eastAsia="zh-CN"/>
              </w:rPr>
              <w:t>员</w:t>
            </w:r>
            <w:r>
              <w:rPr>
                <w:rFonts w:hint="eastAsia" w:ascii="宋体" w:hAnsi="宋体" w:cs="宋体"/>
                <w:color w:val="auto"/>
                <w:kern w:val="0"/>
                <w:szCs w:val="21"/>
                <w:highlight w:val="none"/>
                <w:lang w:val="en-US" w:eastAsia="zh-CN"/>
              </w:rPr>
              <w:t>2</w:t>
            </w:r>
            <w:r>
              <w:rPr>
                <w:rFonts w:hint="default" w:ascii="宋体" w:hAnsi="宋体" w:cs="宋体"/>
                <w:color w:val="auto"/>
                <w:kern w:val="0"/>
                <w:szCs w:val="21"/>
                <w:highlight w:val="none"/>
                <w:lang w:val="en-US" w:eastAsia="zh-CN"/>
              </w:rPr>
              <w:t>名</w:t>
            </w:r>
            <w:r>
              <w:rPr>
                <w:rFonts w:hint="eastAsia" w:ascii="宋体" w:hAnsi="宋体" w:cs="宋体"/>
                <w:color w:val="auto"/>
                <w:kern w:val="0"/>
                <w:szCs w:val="21"/>
                <w:highlight w:val="none"/>
                <w:lang w:val="en-US" w:eastAsia="zh-CN"/>
              </w:rPr>
              <w:t>及以上的，得3分，团队成员中具有法律职业资格证及注册会计师专业资格的，加2分。本项最高5分。</w:t>
            </w:r>
          </w:p>
        </w:tc>
        <w:tc>
          <w:tcPr>
            <w:tcW w:w="900" w:type="dxa"/>
            <w:noWrap w:val="0"/>
            <w:vAlign w:val="center"/>
          </w:tcPr>
          <w:p w14:paraId="263BDCD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15分</w:t>
            </w:r>
          </w:p>
        </w:tc>
      </w:tr>
      <w:tr w14:paraId="6771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888" w:type="dxa"/>
            <w:vMerge w:val="restart"/>
            <w:noWrap w:val="0"/>
            <w:vAlign w:val="center"/>
          </w:tcPr>
          <w:p w14:paraId="249C73A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1603" w:type="dxa"/>
            <w:vMerge w:val="restart"/>
            <w:noWrap w:val="0"/>
            <w:vAlign w:val="center"/>
          </w:tcPr>
          <w:p w14:paraId="6452DAD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成功案例及管理规模经验</w:t>
            </w:r>
          </w:p>
        </w:tc>
        <w:tc>
          <w:tcPr>
            <w:tcW w:w="6604" w:type="dxa"/>
            <w:noWrap w:val="0"/>
            <w:vAlign w:val="center"/>
          </w:tcPr>
          <w:p w14:paraId="14017785">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r>
              <w:rPr>
                <w:rFonts w:hint="default" w:ascii="宋体" w:hAnsi="宋体" w:cs="宋体"/>
                <w:color w:val="auto"/>
                <w:kern w:val="0"/>
                <w:szCs w:val="21"/>
                <w:highlight w:val="none"/>
                <w:lang w:val="en-US" w:eastAsia="zh-CN"/>
              </w:rPr>
              <w:t>申请机构</w:t>
            </w:r>
            <w:r>
              <w:rPr>
                <w:rFonts w:hint="eastAsia" w:ascii="宋体" w:hAnsi="宋体" w:cs="宋体"/>
                <w:color w:val="auto"/>
                <w:kern w:val="0"/>
                <w:szCs w:val="21"/>
                <w:highlight w:val="none"/>
                <w:lang w:val="en-US" w:eastAsia="zh-CN"/>
              </w:rPr>
              <w:t>自2022年1月1日起，至少具有3个以上成</w:t>
            </w:r>
            <w:r>
              <w:rPr>
                <w:rFonts w:hint="default" w:ascii="宋体" w:hAnsi="宋体" w:cs="宋体"/>
                <w:color w:val="auto"/>
                <w:kern w:val="0"/>
                <w:szCs w:val="21"/>
                <w:highlight w:val="none"/>
                <w:lang w:val="en-US" w:eastAsia="zh-CN"/>
              </w:rPr>
              <w:t>功投资案例（</w:t>
            </w:r>
            <w:r>
              <w:rPr>
                <w:rFonts w:hint="eastAsia" w:ascii="宋体" w:hAnsi="宋体" w:cs="宋体"/>
                <w:color w:val="auto"/>
                <w:kern w:val="0"/>
                <w:szCs w:val="21"/>
                <w:highlight w:val="none"/>
                <w:lang w:val="en-US" w:eastAsia="zh-CN"/>
              </w:rPr>
              <w:t>完全退出且退出时点的年平均收益率（单利）达到6%（含）），得3分；退出时点年平均收益率（单利）达到9%以上（含），加1分；6个及以上（含）成功案例加1分。本项最高得分5分。</w:t>
            </w:r>
          </w:p>
        </w:tc>
        <w:tc>
          <w:tcPr>
            <w:tcW w:w="900" w:type="dxa"/>
            <w:vMerge w:val="restart"/>
            <w:noWrap w:val="0"/>
            <w:vAlign w:val="center"/>
          </w:tcPr>
          <w:p w14:paraId="7D26615E">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20分</w:t>
            </w:r>
          </w:p>
        </w:tc>
      </w:tr>
      <w:tr w14:paraId="074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88" w:type="dxa"/>
            <w:vMerge w:val="continue"/>
            <w:noWrap w:val="0"/>
            <w:vAlign w:val="center"/>
          </w:tcPr>
          <w:p w14:paraId="3242274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cs="宋体"/>
                <w:color w:val="auto"/>
                <w:szCs w:val="21"/>
                <w:lang w:val="en-US" w:eastAsia="zh-CN"/>
              </w:rPr>
            </w:pPr>
          </w:p>
        </w:tc>
        <w:tc>
          <w:tcPr>
            <w:tcW w:w="1603" w:type="dxa"/>
            <w:vMerge w:val="continue"/>
            <w:noWrap w:val="0"/>
            <w:vAlign w:val="center"/>
          </w:tcPr>
          <w:p w14:paraId="1A4820A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val="en-US" w:eastAsia="zh-CN"/>
              </w:rPr>
            </w:pPr>
          </w:p>
        </w:tc>
        <w:tc>
          <w:tcPr>
            <w:tcW w:w="6604" w:type="dxa"/>
            <w:noWrap w:val="0"/>
            <w:vAlign w:val="center"/>
          </w:tcPr>
          <w:p w14:paraId="2BA9EFF4">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spacing w:val="0"/>
                <w:kern w:val="0"/>
                <w:sz w:val="21"/>
                <w:szCs w:val="21"/>
                <w:highlight w:val="none"/>
                <w:lang w:val="en-US" w:eastAsia="zh-CN" w:bidi="ar-SA"/>
              </w:rPr>
              <w:t>2、</w:t>
            </w:r>
            <w:r>
              <w:rPr>
                <w:rFonts w:hint="eastAsia" w:ascii="宋体" w:hAnsi="宋体" w:cs="宋体" w:eastAsiaTheme="minorEastAsia"/>
                <w:color w:val="auto"/>
                <w:spacing w:val="0"/>
                <w:kern w:val="0"/>
                <w:sz w:val="21"/>
                <w:szCs w:val="21"/>
                <w:highlight w:val="none"/>
                <w:lang w:val="en-US" w:eastAsia="zh-CN" w:bidi="ar-SA"/>
              </w:rPr>
              <w:t>自201</w:t>
            </w:r>
            <w:r>
              <w:rPr>
                <w:rFonts w:hint="eastAsia" w:ascii="宋体" w:hAnsi="宋体" w:cs="宋体"/>
                <w:color w:val="auto"/>
                <w:spacing w:val="0"/>
                <w:kern w:val="0"/>
                <w:sz w:val="21"/>
                <w:szCs w:val="21"/>
                <w:highlight w:val="none"/>
                <w:lang w:val="en-US" w:eastAsia="zh-CN" w:bidi="ar-SA"/>
              </w:rPr>
              <w:t>8</w:t>
            </w:r>
            <w:r>
              <w:rPr>
                <w:rFonts w:hint="eastAsia" w:ascii="宋体" w:hAnsi="宋体" w:cs="宋体" w:eastAsiaTheme="minorEastAsia"/>
                <w:color w:val="auto"/>
                <w:spacing w:val="0"/>
                <w:kern w:val="0"/>
                <w:sz w:val="21"/>
                <w:szCs w:val="21"/>
                <w:highlight w:val="none"/>
                <w:lang w:val="en-US" w:eastAsia="zh-CN" w:bidi="ar-SA"/>
              </w:rPr>
              <w:t>年1月1日起，累计管理已备案基金实缴规模</w:t>
            </w:r>
            <w:r>
              <w:rPr>
                <w:rFonts w:hint="default" w:ascii="宋体" w:hAnsi="宋体" w:cs="宋体" w:eastAsiaTheme="minorEastAsia"/>
                <w:color w:val="auto"/>
                <w:spacing w:val="0"/>
                <w:kern w:val="0"/>
                <w:sz w:val="21"/>
                <w:szCs w:val="21"/>
                <w:highlight w:val="none"/>
                <w:lang w:val="en-US" w:eastAsia="zh-CN" w:bidi="ar-SA"/>
              </w:rPr>
              <w:t>≥</w:t>
            </w:r>
            <w:r>
              <w:rPr>
                <w:rFonts w:hint="eastAsia" w:ascii="宋体" w:hAnsi="宋体" w:cs="宋体"/>
                <w:color w:val="auto"/>
                <w:spacing w:val="0"/>
                <w:kern w:val="0"/>
                <w:sz w:val="21"/>
                <w:szCs w:val="21"/>
                <w:highlight w:val="none"/>
                <w:lang w:val="en-US" w:eastAsia="zh-CN" w:bidi="ar-SA"/>
              </w:rPr>
              <w:t>2</w:t>
            </w:r>
            <w:r>
              <w:rPr>
                <w:rFonts w:hint="eastAsia" w:ascii="宋体" w:hAnsi="宋体" w:cs="宋体" w:eastAsiaTheme="minorEastAsia"/>
                <w:color w:val="auto"/>
                <w:spacing w:val="0"/>
                <w:kern w:val="0"/>
                <w:sz w:val="21"/>
                <w:szCs w:val="21"/>
                <w:highlight w:val="none"/>
                <w:lang w:val="en-US" w:eastAsia="zh-CN" w:bidi="ar-SA"/>
              </w:rPr>
              <w:t>0</w:t>
            </w:r>
            <w:r>
              <w:rPr>
                <w:rFonts w:hint="default" w:ascii="宋体" w:hAnsi="宋体" w:cs="宋体" w:eastAsiaTheme="minorEastAsia"/>
                <w:color w:val="auto"/>
                <w:spacing w:val="0"/>
                <w:kern w:val="0"/>
                <w:sz w:val="21"/>
                <w:szCs w:val="21"/>
                <w:highlight w:val="none"/>
                <w:lang w:val="en-US" w:eastAsia="zh-CN" w:bidi="ar-SA"/>
              </w:rPr>
              <w:t>亿元</w:t>
            </w:r>
            <w:r>
              <w:rPr>
                <w:rFonts w:hint="eastAsia" w:ascii="宋体" w:hAnsi="宋体" w:cs="宋体"/>
                <w:color w:val="auto"/>
                <w:spacing w:val="0"/>
                <w:kern w:val="0"/>
                <w:sz w:val="21"/>
                <w:szCs w:val="21"/>
                <w:highlight w:val="none"/>
                <w:lang w:val="en-US" w:eastAsia="zh-CN" w:bidi="ar-SA"/>
              </w:rPr>
              <w:t>，得3分，每增加5亿实缴规模，加1分。</w:t>
            </w:r>
            <w:r>
              <w:rPr>
                <w:rFonts w:hint="eastAsia" w:ascii="宋体" w:hAnsi="宋体" w:cs="宋体"/>
                <w:color w:val="auto"/>
                <w:kern w:val="0"/>
                <w:szCs w:val="21"/>
                <w:highlight w:val="none"/>
                <w:lang w:val="en-US" w:eastAsia="zh-CN"/>
              </w:rPr>
              <w:t>本项最高得分5分。</w:t>
            </w:r>
          </w:p>
        </w:tc>
        <w:tc>
          <w:tcPr>
            <w:tcW w:w="900" w:type="dxa"/>
            <w:vMerge w:val="continue"/>
            <w:noWrap w:val="0"/>
            <w:vAlign w:val="center"/>
          </w:tcPr>
          <w:p w14:paraId="4E86F2E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cs="宋体"/>
                <w:color w:val="auto"/>
                <w:szCs w:val="21"/>
                <w:lang w:val="en-US" w:eastAsia="zh-CN"/>
              </w:rPr>
            </w:pPr>
          </w:p>
        </w:tc>
      </w:tr>
      <w:tr w14:paraId="6C83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8" w:type="dxa"/>
            <w:vMerge w:val="continue"/>
            <w:noWrap w:val="0"/>
            <w:vAlign w:val="center"/>
          </w:tcPr>
          <w:p w14:paraId="4244988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eastAsia="zh-CN"/>
              </w:rPr>
            </w:pPr>
          </w:p>
        </w:tc>
        <w:tc>
          <w:tcPr>
            <w:tcW w:w="1603" w:type="dxa"/>
            <w:vMerge w:val="continue"/>
            <w:noWrap w:val="0"/>
            <w:vAlign w:val="center"/>
          </w:tcPr>
          <w:p w14:paraId="0D8F5DA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szCs w:val="21"/>
                <w:lang w:val="en-US" w:eastAsia="zh-CN"/>
              </w:rPr>
            </w:pPr>
          </w:p>
        </w:tc>
        <w:tc>
          <w:tcPr>
            <w:tcW w:w="6604" w:type="dxa"/>
            <w:noWrap w:val="0"/>
            <w:vAlign w:val="center"/>
          </w:tcPr>
          <w:p w14:paraId="5F24A37C">
            <w:pPr>
              <w:widowControl/>
              <w:numPr>
                <w:ilvl w:val="0"/>
                <w:numId w:val="0"/>
              </w:numPr>
              <w:jc w:val="left"/>
              <w:rPr>
                <w:rFonts w:hint="default" w:ascii="宋体" w:hAnsi="宋体" w:eastAsia="宋体" w:cs="宋体"/>
                <w:color w:val="auto"/>
                <w:sz w:val="21"/>
                <w:szCs w:val="21"/>
                <w:lang w:val="en-US" w:eastAsia="zh-CN"/>
              </w:rPr>
            </w:pPr>
            <w:r>
              <w:rPr>
                <w:rFonts w:hint="eastAsia" w:ascii="宋体" w:hAnsi="宋体" w:cs="宋体"/>
                <w:color w:val="auto"/>
                <w:kern w:val="0"/>
                <w:szCs w:val="21"/>
                <w:highlight w:val="none"/>
                <w:lang w:val="en-US" w:eastAsia="zh-CN"/>
              </w:rPr>
              <w:t>3、目前存续</w:t>
            </w:r>
            <w:r>
              <w:rPr>
                <w:rFonts w:hint="default" w:ascii="宋体" w:hAnsi="宋体" w:cs="宋体"/>
                <w:color w:val="auto"/>
                <w:kern w:val="0"/>
                <w:szCs w:val="21"/>
                <w:highlight w:val="none"/>
                <w:lang w:val="en-US" w:eastAsia="zh-CN"/>
              </w:rPr>
              <w:t>管理至少一支</w:t>
            </w:r>
            <w:r>
              <w:rPr>
                <w:rFonts w:hint="eastAsia" w:ascii="宋体" w:hAnsi="宋体" w:cs="宋体"/>
                <w:color w:val="auto"/>
                <w:kern w:val="0"/>
                <w:szCs w:val="21"/>
                <w:highlight w:val="none"/>
                <w:lang w:val="en-US" w:eastAsia="zh-CN"/>
              </w:rPr>
              <w:t>及以上，在浙江省内注册且</w:t>
            </w:r>
            <w:r>
              <w:rPr>
                <w:rFonts w:hint="default" w:ascii="宋体" w:hAnsi="宋体" w:cs="宋体"/>
                <w:color w:val="auto"/>
                <w:kern w:val="0"/>
                <w:szCs w:val="21"/>
                <w:highlight w:val="none"/>
                <w:lang w:val="en-US" w:eastAsia="zh-CN"/>
              </w:rPr>
              <w:t>经中国证券投资基金业协会备案的</w:t>
            </w:r>
            <w:r>
              <w:rPr>
                <w:rFonts w:hint="eastAsia" w:ascii="宋体" w:hAnsi="宋体" w:cs="宋体"/>
                <w:color w:val="auto"/>
                <w:kern w:val="0"/>
                <w:szCs w:val="21"/>
                <w:highlight w:val="none"/>
                <w:lang w:val="en-US" w:eastAsia="zh-CN"/>
              </w:rPr>
              <w:t>S</w:t>
            </w:r>
            <w:r>
              <w:rPr>
                <w:rFonts w:hint="default" w:ascii="宋体" w:hAnsi="宋体" w:cs="宋体"/>
                <w:color w:val="auto"/>
                <w:kern w:val="0"/>
                <w:szCs w:val="21"/>
                <w:highlight w:val="none"/>
                <w:lang w:val="en-US" w:eastAsia="zh-CN"/>
              </w:rPr>
              <w:t>基金</w:t>
            </w:r>
            <w:r>
              <w:rPr>
                <w:rFonts w:hint="eastAsia" w:ascii="宋体" w:hAnsi="宋体" w:cs="宋体"/>
                <w:color w:val="auto"/>
                <w:kern w:val="0"/>
                <w:szCs w:val="21"/>
                <w:highlight w:val="none"/>
                <w:lang w:val="en-US" w:eastAsia="zh-CN"/>
              </w:rPr>
              <w:t>（基金协议主要投资方式需包含受让基金份额），得3分；基金管理实缴</w:t>
            </w:r>
            <w:r>
              <w:rPr>
                <w:rFonts w:hint="default" w:ascii="宋体" w:hAnsi="宋体" w:cs="宋体"/>
                <w:color w:val="auto"/>
                <w:kern w:val="0"/>
                <w:szCs w:val="21"/>
                <w:highlight w:val="none"/>
                <w:lang w:val="en-US" w:eastAsia="zh-CN"/>
              </w:rPr>
              <w:t>规模≥</w:t>
            </w:r>
            <w:r>
              <w:rPr>
                <w:rFonts w:hint="eastAsia" w:ascii="宋体" w:hAnsi="宋体" w:cs="宋体"/>
                <w:color w:val="auto"/>
                <w:kern w:val="0"/>
                <w:szCs w:val="21"/>
                <w:highlight w:val="none"/>
                <w:lang w:val="en-US" w:eastAsia="zh-CN"/>
              </w:rPr>
              <w:t>2</w:t>
            </w:r>
            <w:r>
              <w:rPr>
                <w:rFonts w:hint="default" w:ascii="宋体" w:hAnsi="宋体" w:cs="宋体"/>
                <w:color w:val="auto"/>
                <w:kern w:val="0"/>
                <w:szCs w:val="21"/>
                <w:highlight w:val="none"/>
                <w:lang w:val="en-US" w:eastAsia="zh-CN"/>
              </w:rPr>
              <w:t>亿元</w:t>
            </w:r>
            <w:r>
              <w:rPr>
                <w:rFonts w:hint="eastAsia" w:ascii="宋体" w:hAnsi="宋体" w:cs="宋体"/>
                <w:color w:val="auto"/>
                <w:kern w:val="0"/>
                <w:szCs w:val="21"/>
                <w:highlight w:val="none"/>
                <w:lang w:val="en-US" w:eastAsia="zh-CN"/>
              </w:rPr>
              <w:t>，加1分；基金管理实缴</w:t>
            </w:r>
            <w:r>
              <w:rPr>
                <w:rFonts w:hint="default" w:ascii="宋体" w:hAnsi="宋体" w:cs="宋体"/>
                <w:color w:val="auto"/>
                <w:kern w:val="0"/>
                <w:szCs w:val="21"/>
                <w:highlight w:val="none"/>
                <w:lang w:val="en-US" w:eastAsia="zh-CN"/>
              </w:rPr>
              <w:t>规模≥</w:t>
            </w:r>
            <w:r>
              <w:rPr>
                <w:rFonts w:hint="eastAsia" w:ascii="宋体" w:hAnsi="宋体" w:cs="宋体"/>
                <w:color w:val="auto"/>
                <w:kern w:val="0"/>
                <w:szCs w:val="21"/>
                <w:highlight w:val="none"/>
                <w:lang w:val="en-US" w:eastAsia="zh-CN"/>
              </w:rPr>
              <w:t>5</w:t>
            </w:r>
            <w:r>
              <w:rPr>
                <w:rFonts w:hint="default" w:ascii="宋体" w:hAnsi="宋体" w:cs="宋体"/>
                <w:color w:val="auto"/>
                <w:kern w:val="0"/>
                <w:szCs w:val="21"/>
                <w:highlight w:val="none"/>
                <w:lang w:val="en-US" w:eastAsia="zh-CN"/>
              </w:rPr>
              <w:t>亿元</w:t>
            </w:r>
            <w:r>
              <w:rPr>
                <w:rFonts w:hint="eastAsia" w:ascii="宋体" w:hAnsi="宋体" w:cs="宋体"/>
                <w:color w:val="auto"/>
                <w:kern w:val="0"/>
                <w:szCs w:val="21"/>
                <w:highlight w:val="none"/>
                <w:lang w:val="en-US" w:eastAsia="zh-CN"/>
              </w:rPr>
              <w:t>，加2分。本项最高得分5分。</w:t>
            </w:r>
          </w:p>
        </w:tc>
        <w:tc>
          <w:tcPr>
            <w:tcW w:w="900" w:type="dxa"/>
            <w:vMerge w:val="continue"/>
            <w:noWrap w:val="0"/>
            <w:vAlign w:val="center"/>
          </w:tcPr>
          <w:p w14:paraId="11FA5C4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p>
        </w:tc>
      </w:tr>
      <w:tr w14:paraId="03BF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8" w:type="dxa"/>
            <w:vMerge w:val="continue"/>
            <w:noWrap w:val="0"/>
            <w:vAlign w:val="center"/>
          </w:tcPr>
          <w:p w14:paraId="2FCC231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eastAsia="zh-CN"/>
              </w:rPr>
            </w:pPr>
          </w:p>
        </w:tc>
        <w:tc>
          <w:tcPr>
            <w:tcW w:w="1603" w:type="dxa"/>
            <w:vMerge w:val="continue"/>
            <w:noWrap w:val="0"/>
            <w:vAlign w:val="center"/>
          </w:tcPr>
          <w:p w14:paraId="6B659B7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szCs w:val="21"/>
                <w:lang w:val="en-US" w:eastAsia="zh-CN"/>
              </w:rPr>
            </w:pPr>
          </w:p>
        </w:tc>
        <w:tc>
          <w:tcPr>
            <w:tcW w:w="6604" w:type="dxa"/>
            <w:noWrap w:val="0"/>
            <w:vAlign w:val="center"/>
          </w:tcPr>
          <w:p w14:paraId="5DC1C173">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default" w:ascii="宋体" w:hAnsi="宋体" w:cs="宋体"/>
                <w:color w:val="auto"/>
                <w:kern w:val="0"/>
                <w:szCs w:val="21"/>
                <w:highlight w:val="none"/>
                <w:lang w:val="en-US" w:eastAsia="zh-CN"/>
              </w:rPr>
              <w:t>申请机构</w:t>
            </w:r>
            <w:r>
              <w:rPr>
                <w:rFonts w:hint="eastAsia" w:ascii="宋体" w:hAnsi="宋体" w:cs="宋体"/>
                <w:color w:val="auto"/>
                <w:kern w:val="0"/>
                <w:szCs w:val="21"/>
                <w:highlight w:val="none"/>
              </w:rPr>
              <w:t>有管理国家级基金管理经验的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每支基金得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有</w:t>
            </w:r>
            <w:r>
              <w:rPr>
                <w:rFonts w:hint="eastAsia" w:ascii="宋体" w:hAnsi="宋体" w:cs="宋体"/>
                <w:color w:val="auto"/>
                <w:kern w:val="0"/>
                <w:szCs w:val="21"/>
                <w:highlight w:val="none"/>
                <w:lang w:val="en-US" w:eastAsia="zh-CN"/>
              </w:rPr>
              <w:t>浙江</w:t>
            </w:r>
            <w:r>
              <w:rPr>
                <w:rFonts w:hint="eastAsia" w:ascii="宋体" w:hAnsi="宋体" w:cs="宋体"/>
                <w:color w:val="auto"/>
                <w:kern w:val="0"/>
                <w:szCs w:val="21"/>
                <w:highlight w:val="none"/>
              </w:rPr>
              <w:t>省级基金管理经验的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省级国资平台出资占比50%及以上）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每支基金得</w:t>
            </w:r>
            <w:r>
              <w:rPr>
                <w:rFonts w:hint="eastAsia" w:ascii="宋体" w:hAnsi="宋体" w:cs="宋体"/>
                <w:color w:val="auto"/>
                <w:kern w:val="0"/>
                <w:szCs w:val="21"/>
                <w:highlight w:val="none"/>
                <w:lang w:val="en-US" w:eastAsia="zh-CN"/>
              </w:rPr>
              <w:t>2分；有在浙江省内与各级地方政府及国资平台合作成立基金管理经验的（地方政府及国资平台出资占比50%及以上）</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每支基金得1分。</w:t>
            </w:r>
            <w:r>
              <w:rPr>
                <w:rFonts w:hint="eastAsia" w:ascii="宋体" w:hAnsi="宋体" w:cs="宋体"/>
                <w:color w:val="auto"/>
                <w:kern w:val="0"/>
                <w:szCs w:val="21"/>
                <w:highlight w:val="none"/>
                <w:lang w:val="en-US" w:eastAsia="zh-CN"/>
              </w:rPr>
              <w:t>本项最高得分5分。</w:t>
            </w:r>
          </w:p>
        </w:tc>
        <w:tc>
          <w:tcPr>
            <w:tcW w:w="900" w:type="dxa"/>
            <w:vMerge w:val="continue"/>
            <w:noWrap w:val="0"/>
            <w:vAlign w:val="center"/>
          </w:tcPr>
          <w:p w14:paraId="4D4B53D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p>
        </w:tc>
      </w:tr>
      <w:tr w14:paraId="295E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88" w:type="dxa"/>
            <w:noWrap w:val="0"/>
            <w:vAlign w:val="center"/>
          </w:tcPr>
          <w:p w14:paraId="2ABB2BB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1603" w:type="dxa"/>
            <w:noWrap w:val="0"/>
            <w:vAlign w:val="center"/>
          </w:tcPr>
          <w:p w14:paraId="3E66506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项目储备</w:t>
            </w:r>
          </w:p>
        </w:tc>
        <w:tc>
          <w:tcPr>
            <w:tcW w:w="6604" w:type="dxa"/>
            <w:noWrap w:val="0"/>
            <w:vAlign w:val="center"/>
          </w:tcPr>
          <w:p w14:paraId="1146802D">
            <w:pPr>
              <w:widowControl/>
              <w:numPr>
                <w:ilvl w:val="0"/>
                <w:numId w:val="0"/>
              </w:numPr>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申请机构</w:t>
            </w:r>
            <w:r>
              <w:rPr>
                <w:rFonts w:hint="eastAsia" w:ascii="宋体" w:hAnsi="宋体" w:cs="宋体"/>
                <w:color w:val="auto"/>
                <w:kern w:val="0"/>
                <w:szCs w:val="21"/>
                <w:highlight w:val="none"/>
                <w:lang w:val="en-US" w:eastAsia="zh-CN"/>
              </w:rPr>
              <w:t>在产业招引、企业并购项目拟投资总金额</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亿元</w:t>
            </w:r>
            <w:r>
              <w:rPr>
                <w:rFonts w:hint="eastAsia" w:ascii="宋体" w:hAnsi="宋体" w:cs="宋体"/>
                <w:color w:val="auto"/>
                <w:kern w:val="0"/>
                <w:szCs w:val="21"/>
                <w:highlight w:val="none"/>
                <w:lang w:val="en-US" w:eastAsia="zh-CN"/>
              </w:rPr>
              <w:t>，得3分，每增加3亿规模，加1分。本项最高得6分。</w:t>
            </w:r>
          </w:p>
          <w:p w14:paraId="7871414E">
            <w:pPr>
              <w:widowControl/>
              <w:numPr>
                <w:ilvl w:val="0"/>
                <w:numId w:val="0"/>
              </w:numPr>
              <w:jc w:val="left"/>
              <w:rPr>
                <w:rFonts w:hint="eastAsia"/>
                <w:lang w:val="en-US" w:eastAsia="zh-CN"/>
              </w:rPr>
            </w:pPr>
            <w:r>
              <w:rPr>
                <w:rFonts w:hint="default" w:ascii="宋体" w:hAnsi="宋体" w:cs="宋体"/>
                <w:color w:val="auto"/>
                <w:kern w:val="0"/>
                <w:szCs w:val="21"/>
                <w:highlight w:val="none"/>
                <w:lang w:val="en-US" w:eastAsia="zh-CN"/>
              </w:rPr>
              <w:t>申请机构</w:t>
            </w:r>
            <w:r>
              <w:rPr>
                <w:rFonts w:hint="eastAsia" w:ascii="宋体" w:hAnsi="宋体" w:cs="宋体"/>
                <w:color w:val="auto"/>
                <w:kern w:val="0"/>
                <w:szCs w:val="21"/>
                <w:highlight w:val="none"/>
                <w:lang w:val="en-US" w:eastAsia="zh-CN"/>
              </w:rPr>
              <w:t>在浙江省内S基金储备项目拟投资总金额</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w:t>
            </w:r>
            <w:r>
              <w:rPr>
                <w:rFonts w:hint="default" w:ascii="宋体" w:hAnsi="宋体" w:cs="宋体"/>
                <w:color w:val="auto"/>
                <w:kern w:val="0"/>
                <w:szCs w:val="21"/>
                <w:highlight w:val="none"/>
                <w:lang w:val="en-US" w:eastAsia="zh-CN"/>
              </w:rPr>
              <w:t>亿元</w:t>
            </w:r>
            <w:r>
              <w:rPr>
                <w:rFonts w:hint="eastAsia" w:ascii="宋体" w:hAnsi="宋体" w:cs="宋体"/>
                <w:color w:val="auto"/>
                <w:kern w:val="0"/>
                <w:szCs w:val="21"/>
                <w:highlight w:val="none"/>
                <w:lang w:val="en-US" w:eastAsia="zh-CN"/>
              </w:rPr>
              <w:t>，得2分，每增加2亿规模，加1分。本项最高得分4分。</w:t>
            </w:r>
          </w:p>
        </w:tc>
        <w:tc>
          <w:tcPr>
            <w:tcW w:w="900" w:type="dxa"/>
            <w:noWrap w:val="0"/>
            <w:vAlign w:val="center"/>
          </w:tcPr>
          <w:p w14:paraId="3E09B37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10分</w:t>
            </w:r>
          </w:p>
        </w:tc>
      </w:tr>
      <w:tr w14:paraId="1551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88" w:type="dxa"/>
            <w:noWrap w:val="0"/>
            <w:vAlign w:val="center"/>
          </w:tcPr>
          <w:p w14:paraId="76286D7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1603" w:type="dxa"/>
            <w:noWrap w:val="0"/>
            <w:vAlign w:val="center"/>
          </w:tcPr>
          <w:p w14:paraId="221236A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基金运作管理方案</w:t>
            </w:r>
          </w:p>
        </w:tc>
        <w:tc>
          <w:tcPr>
            <w:tcW w:w="6604" w:type="dxa"/>
            <w:noWrap w:val="0"/>
            <w:vAlign w:val="center"/>
          </w:tcPr>
          <w:p w14:paraId="681CF0BC">
            <w:pPr>
              <w:widowControl/>
              <w:jc w:val="left"/>
              <w:rPr>
                <w:rFonts w:hint="default" w:ascii="宋体" w:hAnsi="宋体" w:cs="宋体" w:eastAsiaTheme="minorEastAsia"/>
                <w:color w:val="auto"/>
                <w:kern w:val="0"/>
                <w:szCs w:val="21"/>
                <w:highlight w:val="none"/>
                <w:lang w:val="en-US" w:eastAsia="zh-CN"/>
              </w:rPr>
            </w:pPr>
            <w:r>
              <w:rPr>
                <w:rFonts w:hint="eastAsia" w:ascii="宋体" w:hAnsi="宋体" w:cs="宋体"/>
                <w:color w:val="auto"/>
                <w:kern w:val="0"/>
                <w:szCs w:val="21"/>
                <w:highlight w:val="none"/>
                <w:lang w:val="en-US" w:eastAsia="zh-CN"/>
              </w:rPr>
              <w:t>基金运作</w:t>
            </w:r>
            <w:r>
              <w:rPr>
                <w:rFonts w:hint="eastAsia" w:ascii="宋体" w:hAnsi="宋体" w:cs="宋体"/>
                <w:color w:val="auto"/>
                <w:kern w:val="0"/>
                <w:szCs w:val="21"/>
                <w:highlight w:val="none"/>
              </w:rPr>
              <w:t>管理方案从本项目实际出发进行描述，</w:t>
            </w:r>
            <w:r>
              <w:rPr>
                <w:rFonts w:hint="eastAsia" w:ascii="宋体" w:hAnsi="宋体" w:cs="宋体"/>
                <w:color w:val="auto"/>
                <w:kern w:val="0"/>
                <w:szCs w:val="21"/>
                <w:highlight w:val="none"/>
                <w:lang w:val="en-US" w:eastAsia="zh-CN"/>
              </w:rPr>
              <w:t>从产业招引培育、企业并购、S基金功能发挥三个方面描述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S基金功能发挥主要描述如何通过本基金运作与区域股权交易市场和地方产权交易所共同探索打造金华市股权投资和创业投资份额转让试点平台，规范和畅通国有基金份额退出渠道。</w:t>
            </w:r>
          </w:p>
          <w:p w14:paraId="65B26838">
            <w:pPr>
              <w:widowControl/>
              <w:ind w:firstLine="420" w:firstLineChars="200"/>
              <w:jc w:val="left"/>
              <w:rPr>
                <w:rFonts w:hint="default"/>
                <w:lang w:val="en-US" w:eastAsia="zh-CN"/>
              </w:rPr>
            </w:pPr>
            <w:r>
              <w:rPr>
                <w:rFonts w:hint="eastAsia" w:ascii="宋体" w:hAnsi="宋体" w:cs="宋体"/>
                <w:color w:val="auto"/>
                <w:kern w:val="0"/>
                <w:szCs w:val="21"/>
                <w:highlight w:val="none"/>
                <w:lang w:val="en-US" w:eastAsia="zh-CN"/>
              </w:rPr>
              <w:t>①</w:t>
            </w:r>
            <w:r>
              <w:rPr>
                <w:rFonts w:hint="eastAsia" w:ascii="宋体" w:hAnsi="宋体" w:cs="宋体"/>
                <w:color w:val="auto"/>
                <w:kern w:val="0"/>
                <w:szCs w:val="21"/>
                <w:highlight w:val="none"/>
              </w:rPr>
              <w:t>方案成熟</w:t>
            </w:r>
            <w:r>
              <w:rPr>
                <w:rFonts w:hint="eastAsia" w:ascii="宋体" w:hAnsi="宋体" w:cs="宋体"/>
                <w:color w:val="auto"/>
                <w:kern w:val="0"/>
                <w:szCs w:val="21"/>
                <w:highlight w:val="none"/>
                <w:lang w:val="en-US" w:eastAsia="zh-CN"/>
              </w:rPr>
              <w:t>可行</w:t>
            </w:r>
            <w:r>
              <w:rPr>
                <w:rFonts w:hint="eastAsia" w:ascii="宋体" w:hAnsi="宋体" w:cs="宋体"/>
                <w:color w:val="auto"/>
                <w:kern w:val="0"/>
                <w:szCs w:val="21"/>
                <w:highlight w:val="none"/>
              </w:rPr>
              <w:t>，管理方案有自己的见解，方案内容详细完整的得</w:t>
            </w:r>
            <w:r>
              <w:rPr>
                <w:rFonts w:hint="eastAsia" w:ascii="宋体" w:hAnsi="宋体" w:cs="宋体"/>
                <w:color w:val="auto"/>
                <w:kern w:val="0"/>
                <w:szCs w:val="21"/>
                <w:highlight w:val="none"/>
                <w:lang w:val="en-US" w:eastAsia="zh-CN"/>
              </w:rPr>
              <w:t>15-20</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②</w:t>
            </w:r>
            <w:r>
              <w:rPr>
                <w:rFonts w:hint="eastAsia" w:ascii="宋体" w:hAnsi="宋体" w:cs="宋体"/>
                <w:color w:val="auto"/>
                <w:kern w:val="0"/>
                <w:szCs w:val="21"/>
                <w:highlight w:val="none"/>
              </w:rPr>
              <w:t>方案较完善，管理方案不够成熟，方案内容不够详细，基本贴合项目实际，需进一步完善的得</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③</w:t>
            </w:r>
            <w:r>
              <w:rPr>
                <w:rFonts w:hint="eastAsia" w:ascii="宋体" w:hAnsi="宋体" w:cs="宋体"/>
                <w:color w:val="auto"/>
                <w:kern w:val="0"/>
                <w:szCs w:val="21"/>
                <w:highlight w:val="none"/>
              </w:rPr>
              <w:t>方案简单，基金管理方案不够贴合需求，方案不太合理的得</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c>
          <w:tcPr>
            <w:tcW w:w="900" w:type="dxa"/>
            <w:noWrap w:val="0"/>
            <w:vAlign w:val="center"/>
          </w:tcPr>
          <w:p w14:paraId="5AE15C2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20分</w:t>
            </w:r>
          </w:p>
        </w:tc>
      </w:tr>
      <w:tr w14:paraId="5EA6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jc w:val="center"/>
        </w:trPr>
        <w:tc>
          <w:tcPr>
            <w:tcW w:w="888" w:type="dxa"/>
            <w:noWrap w:val="0"/>
            <w:vAlign w:val="center"/>
          </w:tcPr>
          <w:p w14:paraId="3CF1668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603" w:type="dxa"/>
            <w:noWrap w:val="0"/>
            <w:vAlign w:val="center"/>
          </w:tcPr>
          <w:p w14:paraId="72A5D24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基金管理费率报价</w:t>
            </w:r>
          </w:p>
        </w:tc>
        <w:tc>
          <w:tcPr>
            <w:tcW w:w="6604" w:type="dxa"/>
            <w:noWrap w:val="0"/>
            <w:vAlign w:val="center"/>
          </w:tcPr>
          <w:p w14:paraId="2D79A285">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一、母基金管理费率（百分号前保留两位小数）:</w:t>
            </w:r>
          </w:p>
          <w:p w14:paraId="2D8E372C">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1、投资期：按照不高于1%/年收取管理费，计提基数为实际项目投资本金的部分；1%的得基本分3分。超过1%的不得分。低于1%的，每降低0.1%的加 0.4分，最多加2分，本条最高得5分。</w:t>
            </w:r>
          </w:p>
          <w:p w14:paraId="45A11800">
            <w:pPr>
              <w:widowControl/>
              <w:numPr>
                <w:ilvl w:val="0"/>
                <w:numId w:val="0"/>
              </w:numPr>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2、退出期：按照不高于1%/年收取管理费，计提基数为未退出项目的投资本金；1%的得基本分3分；超过1%的不得分。低于1%的，每降低0.1%的加0.4分，最多加2分，本条最高得5分。</w:t>
            </w:r>
          </w:p>
          <w:p w14:paraId="3388FB0D">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二、母子基金管理费率（百分号前保留两位小数）:</w:t>
            </w:r>
          </w:p>
          <w:p w14:paraId="362AF209">
            <w:pPr>
              <w:widowControl/>
              <w:numPr>
                <w:ilvl w:val="0"/>
                <w:numId w:val="0"/>
              </w:numPr>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1、投资期：按照母子基金不高于2%/年收取管理费，计提基数为实际项目投资本金的部分；2%的得基本分3分。超过2%的不得分。低于2%的，每降低0.1%的加 0.4分，最多加2分，本条最高得5分。</w:t>
            </w:r>
          </w:p>
          <w:p w14:paraId="36A588CC">
            <w:pPr>
              <w:widowControl/>
              <w:numPr>
                <w:ilvl w:val="0"/>
                <w:numId w:val="0"/>
              </w:numPr>
              <w:jc w:val="left"/>
              <w:rPr>
                <w:rFonts w:hint="default" w:ascii="宋体" w:hAnsi="宋体" w:eastAsia="宋体" w:cs="宋体"/>
                <w:color w:val="auto"/>
                <w:sz w:val="21"/>
                <w:szCs w:val="21"/>
                <w:lang w:val="en-US"/>
              </w:rPr>
            </w:pPr>
            <w:r>
              <w:rPr>
                <w:rFonts w:hint="eastAsia" w:ascii="宋体" w:hAnsi="宋体" w:cs="宋体"/>
                <w:color w:val="auto"/>
                <w:kern w:val="0"/>
                <w:szCs w:val="21"/>
                <w:highlight w:val="none"/>
                <w:lang w:val="en-US" w:eastAsia="zh-CN"/>
              </w:rPr>
              <w:t>2、退出期：按照不高于1.5%/年收取管理费，计提基数为未退出项目的投资本金；1.5%的得基本分3分；超过1.5%的不得分。低于1.5%的，每降低0.1%的加0.4分，最多加2分，本条最高得5分。</w:t>
            </w:r>
          </w:p>
        </w:tc>
        <w:tc>
          <w:tcPr>
            <w:tcW w:w="900" w:type="dxa"/>
            <w:noWrap w:val="0"/>
            <w:vAlign w:val="center"/>
          </w:tcPr>
          <w:p w14:paraId="1CE9912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hAnsi="宋体" w:cs="宋体"/>
                <w:color w:val="auto"/>
                <w:szCs w:val="21"/>
              </w:rPr>
            </w:pPr>
            <w:r>
              <w:rPr>
                <w:rFonts w:hint="eastAsia" w:ascii="宋体" w:hAnsi="宋体" w:cs="宋体"/>
                <w:color w:val="auto"/>
                <w:szCs w:val="21"/>
                <w:lang w:val="en-US" w:eastAsia="zh-CN"/>
              </w:rPr>
              <w:t>20</w:t>
            </w:r>
            <w:r>
              <w:rPr>
                <w:rFonts w:hint="eastAsia" w:ascii="宋体" w:hAnsi="宋体" w:cs="宋体"/>
                <w:color w:val="auto"/>
                <w:szCs w:val="21"/>
              </w:rPr>
              <w:t>分</w:t>
            </w:r>
          </w:p>
        </w:tc>
      </w:tr>
      <w:tr w14:paraId="1AF1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095" w:type="dxa"/>
            <w:gridSpan w:val="3"/>
            <w:noWrap w:val="0"/>
            <w:vAlign w:val="center"/>
          </w:tcPr>
          <w:p w14:paraId="45AE977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hAnsi="宋体" w:cs="宋体"/>
                <w:b/>
                <w:bCs/>
                <w:color w:val="auto"/>
                <w:szCs w:val="21"/>
              </w:rPr>
            </w:pPr>
            <w:r>
              <w:rPr>
                <w:rFonts w:hint="eastAsia" w:ascii="宋体" w:hAnsi="宋体" w:cs="宋体"/>
                <w:b/>
                <w:bCs/>
                <w:color w:val="auto"/>
                <w:szCs w:val="21"/>
              </w:rPr>
              <w:t>合计</w:t>
            </w:r>
          </w:p>
        </w:tc>
        <w:tc>
          <w:tcPr>
            <w:tcW w:w="900" w:type="dxa"/>
            <w:noWrap w:val="0"/>
            <w:vAlign w:val="center"/>
          </w:tcPr>
          <w:p w14:paraId="1918483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宋体" w:hAnsi="宋体" w:cs="宋体"/>
                <w:b/>
                <w:bCs/>
                <w:color w:val="auto"/>
                <w:szCs w:val="21"/>
              </w:rPr>
            </w:pPr>
            <w:r>
              <w:rPr>
                <w:rFonts w:hint="eastAsia" w:ascii="宋体" w:hAnsi="宋体" w:cs="宋体"/>
                <w:b/>
                <w:bCs/>
                <w:color w:val="auto"/>
                <w:szCs w:val="21"/>
                <w:lang w:val="en-US" w:eastAsia="zh-CN"/>
              </w:rPr>
              <w:t>100</w:t>
            </w:r>
            <w:r>
              <w:rPr>
                <w:rFonts w:hint="eastAsia" w:ascii="宋体" w:hAnsi="宋体" w:cs="宋体"/>
                <w:b/>
                <w:bCs/>
                <w:color w:val="auto"/>
                <w:szCs w:val="21"/>
              </w:rPr>
              <w:t>分</w:t>
            </w:r>
          </w:p>
        </w:tc>
      </w:tr>
    </w:tbl>
    <w:p w14:paraId="0E4F2B0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B7D52">
    <w:pPr>
      <w:pStyle w:val="6"/>
      <w:spacing w:after="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17874">
                          <w:pPr>
                            <w:pStyle w:val="6"/>
                            <w:spacing w:after="120"/>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B17874">
                    <w:pPr>
                      <w:pStyle w:val="6"/>
                      <w:spacing w:after="120"/>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p w14:paraId="6D377CFF">
    <w:pPr>
      <w:pStyle w:val="6"/>
      <w:tabs>
        <w:tab w:val="right" w:pos="9639"/>
        <w:tab w:val="clear" w:pos="4153"/>
        <w:tab w:val="clear" w:pos="8306"/>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E07EA"/>
    <w:rsid w:val="058971DF"/>
    <w:rsid w:val="05CA4B4A"/>
    <w:rsid w:val="05FE2386"/>
    <w:rsid w:val="07805F1F"/>
    <w:rsid w:val="08D947D3"/>
    <w:rsid w:val="0B205288"/>
    <w:rsid w:val="0B8C5B00"/>
    <w:rsid w:val="11000E6F"/>
    <w:rsid w:val="127B0C62"/>
    <w:rsid w:val="14C37055"/>
    <w:rsid w:val="178E1F33"/>
    <w:rsid w:val="19CB14DE"/>
    <w:rsid w:val="1BCE1E34"/>
    <w:rsid w:val="202C5CD5"/>
    <w:rsid w:val="26A1499A"/>
    <w:rsid w:val="26AE4464"/>
    <w:rsid w:val="28927BEE"/>
    <w:rsid w:val="29986528"/>
    <w:rsid w:val="2A95366B"/>
    <w:rsid w:val="2C4E07EA"/>
    <w:rsid w:val="2E9F3EB4"/>
    <w:rsid w:val="381F5BA1"/>
    <w:rsid w:val="3C982884"/>
    <w:rsid w:val="3FBE7E84"/>
    <w:rsid w:val="4785348F"/>
    <w:rsid w:val="48F826E7"/>
    <w:rsid w:val="49C94233"/>
    <w:rsid w:val="4DF416CF"/>
    <w:rsid w:val="4F897F8C"/>
    <w:rsid w:val="51827730"/>
    <w:rsid w:val="553D7E00"/>
    <w:rsid w:val="557B0928"/>
    <w:rsid w:val="55910872"/>
    <w:rsid w:val="5A156465"/>
    <w:rsid w:val="5B0942E0"/>
    <w:rsid w:val="5B5A2D8E"/>
    <w:rsid w:val="5C5C6C96"/>
    <w:rsid w:val="5E9842F9"/>
    <w:rsid w:val="60517203"/>
    <w:rsid w:val="627763BE"/>
    <w:rsid w:val="63961049"/>
    <w:rsid w:val="651641C9"/>
    <w:rsid w:val="687B2EDD"/>
    <w:rsid w:val="6CA847B6"/>
    <w:rsid w:val="6F1218C9"/>
    <w:rsid w:val="6FBB1BF5"/>
    <w:rsid w:val="70A77FB5"/>
    <w:rsid w:val="70B7547C"/>
    <w:rsid w:val="75201410"/>
    <w:rsid w:val="78CF3848"/>
    <w:rsid w:val="793716CC"/>
    <w:rsid w:val="7C1B1FAB"/>
    <w:rsid w:val="7CF57DC7"/>
    <w:rsid w:val="7E37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val="0"/>
      <w:autoSpaceDN w:val="0"/>
      <w:adjustRightInd w:val="0"/>
      <w:spacing w:after="120" w:line="240" w:lineRule="auto"/>
      <w:ind w:left="420" w:leftChars="200" w:firstLine="420" w:firstLineChars="200"/>
      <w:textAlignment w:val="baseline"/>
    </w:pPr>
    <w:rPr>
      <w:rFonts w:ascii="Times New Roman" w:hAnsi="Times New Roman"/>
      <w:spacing w:val="0"/>
      <w:kern w:val="0"/>
      <w:sz w:val="28"/>
    </w:rPr>
  </w:style>
  <w:style w:type="paragraph" w:styleId="3">
    <w:name w:val="Body Text Indent"/>
    <w:basedOn w:val="1"/>
    <w:next w:val="1"/>
    <w:qFormat/>
    <w:uiPriority w:val="0"/>
    <w:pPr>
      <w:spacing w:line="200" w:lineRule="exact"/>
      <w:ind w:firstLine="301"/>
    </w:pPr>
    <w:rPr>
      <w:rFonts w:ascii="宋体" w:hAnsi="Courier New"/>
      <w:spacing w:val="-4"/>
      <w:sz w:val="18"/>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toc 2"/>
    <w:basedOn w:val="1"/>
    <w:next w:val="1"/>
    <w:qFormat/>
    <w:uiPriority w:val="0"/>
    <w:pPr>
      <w:tabs>
        <w:tab w:val="right" w:leader="dot" w:pos="9170"/>
      </w:tabs>
      <w:ind w:left="210" w:firstLine="150"/>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正文首行缩进两字符"/>
    <w:basedOn w:val="1"/>
    <w:next w:val="1"/>
    <w:autoRedefine/>
    <w:qFormat/>
    <w:uiPriority w:val="0"/>
    <w:pPr>
      <w:widowControl w:val="0"/>
      <w:spacing w:line="360" w:lineRule="auto"/>
      <w:ind w:firstLine="200" w:firstLineChars="200"/>
      <w:jc w:val="both"/>
    </w:pPr>
    <w:rPr>
      <w:rFonts w:ascii="Times New Roman" w:hAnsi="Times New Roman" w:eastAsia="宋体"/>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829</Words>
  <Characters>839</Characters>
  <Lines>0</Lines>
  <Paragraphs>0</Paragraphs>
  <TotalTime>10</TotalTime>
  <ScaleCrop>false</ScaleCrop>
  <LinksUpToDate>false</LinksUpToDate>
  <CharactersWithSpaces>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2025-09-17T09:27:00Z</dcterms:created>
  <dc:creator>陈春晖</dc:creator>
  <cp:lastModifiedBy>陈春晖</cp:lastModifiedBy>
  <cp:lastPrinted>2025-10-13T01:00:00Z</cp:lastPrinted>
  <dcterms:modified xsi:type="dcterms:W3CDTF">2025-10-16T08:21:11Z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89F7D92D0BBA4E9C8800F5866659C8E5_13</vt:lpwstr>
  </property>
  <property fmtid="{D5CDD505-2E9C-101B-9397-08002B2CF9AE}" pid="4" name="KSOTemplateDocerSaveRecord">
    <vt:lpwstr>eyJoZGlkIjoiMmNlMDA4ZDYxNTk4M2Y4MTgzZGY5OTk4ZDU0OTRiOTciLCJ1c2VySWQiOiIxNTU2Nzk1MTc3In0=</vt:lpwstr>
  </property>
</Properties>
</file>